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D9E9A" w14:textId="4114E658" w:rsidR="00351D39" w:rsidRPr="002150BE" w:rsidRDefault="00351D39" w:rsidP="00351D39">
      <w:pPr>
        <w:rPr>
          <w:rFonts w:asciiTheme="minorHAnsi" w:hAnsiTheme="minorHAnsi" w:cstheme="minorHAnsi"/>
          <w:b/>
          <w:bCs/>
        </w:rPr>
      </w:pPr>
      <w:bookmarkStart w:id="0" w:name="_Hlk200098944"/>
      <w:r w:rsidRPr="002150BE">
        <w:rPr>
          <w:rFonts w:asciiTheme="minorHAnsi" w:hAnsiTheme="minorHAnsi" w:cstheme="minorHAnsi"/>
          <w:noProof/>
          <w:lang w:eastAsia="es-MX"/>
        </w:rPr>
        <mc:AlternateContent>
          <mc:Choice Requires="wpg">
            <w:drawing>
              <wp:anchor distT="0" distB="0" distL="114300" distR="114300" simplePos="0" relativeHeight="251751936" behindDoc="0" locked="0" layoutInCell="1" allowOverlap="1" wp14:anchorId="25F38FD9" wp14:editId="0BE2514D">
                <wp:simplePos x="0" y="0"/>
                <wp:positionH relativeFrom="column">
                  <wp:posOffset>-1203589</wp:posOffset>
                </wp:positionH>
                <wp:positionV relativeFrom="paragraph">
                  <wp:posOffset>-1120462</wp:posOffset>
                </wp:positionV>
                <wp:extent cx="2335530" cy="3550285"/>
                <wp:effectExtent l="19050" t="19050" r="26670" b="12065"/>
                <wp:wrapNone/>
                <wp:docPr id="1752104556" name="Grupo 50"/>
                <wp:cNvGraphicFramePr/>
                <a:graphic xmlns:a="http://schemas.openxmlformats.org/drawingml/2006/main">
                  <a:graphicData uri="http://schemas.microsoft.com/office/word/2010/wordprocessingGroup">
                    <wpg:wgp>
                      <wpg:cNvGrpSpPr/>
                      <wpg:grpSpPr>
                        <a:xfrm>
                          <a:off x="0" y="0"/>
                          <a:ext cx="2335530" cy="3550285"/>
                          <a:chOff x="0" y="0"/>
                          <a:chExt cx="2560386" cy="3827664"/>
                        </a:xfrm>
                      </wpg:grpSpPr>
                      <wps:wsp>
                        <wps:cNvPr id="710740449" name="Conector recto 710740449"/>
                        <wps:cNvCnPr/>
                        <wps:spPr>
                          <a:xfrm flipV="1">
                            <a:off x="57150" y="0"/>
                            <a:ext cx="2446086" cy="3823854"/>
                          </a:xfrm>
                          <a:prstGeom prst="line">
                            <a:avLst/>
                          </a:prstGeom>
                          <a:ln w="19050">
                            <a:solidFill>
                              <a:srgbClr val="632523"/>
                            </a:solidFill>
                          </a:ln>
                        </wps:spPr>
                        <wps:style>
                          <a:lnRef idx="1">
                            <a:schemeClr val="accent1"/>
                          </a:lnRef>
                          <a:fillRef idx="0">
                            <a:schemeClr val="accent1"/>
                          </a:fillRef>
                          <a:effectRef idx="0">
                            <a:schemeClr val="accent1"/>
                          </a:effectRef>
                          <a:fontRef idx="minor">
                            <a:schemeClr val="tx1"/>
                          </a:fontRef>
                        </wps:style>
                        <wps:bodyPr/>
                      </wps:wsp>
                      <wpg:grpSp>
                        <wpg:cNvPr id="1037162698" name="Grupo 49"/>
                        <wpg:cNvGrpSpPr/>
                        <wpg:grpSpPr>
                          <a:xfrm>
                            <a:off x="0" y="0"/>
                            <a:ext cx="2560386" cy="3827664"/>
                            <a:chOff x="0" y="0"/>
                            <a:chExt cx="2560386" cy="3827664"/>
                          </a:xfrm>
                        </wpg:grpSpPr>
                        <wpg:grpSp>
                          <wpg:cNvPr id="1365182153" name="Grupo 48"/>
                          <wpg:cNvGrpSpPr/>
                          <wpg:grpSpPr>
                            <a:xfrm>
                              <a:off x="0" y="0"/>
                              <a:ext cx="2446020" cy="3823335"/>
                              <a:chOff x="0" y="0"/>
                              <a:chExt cx="2446020" cy="3823335"/>
                            </a:xfrm>
                          </wpg:grpSpPr>
                          <wps:wsp>
                            <wps:cNvPr id="16558618" name="Rectángulo 480"/>
                            <wps:cNvSpPr/>
                            <wps:spPr>
                              <a:xfrm>
                                <a:off x="114890" y="58223"/>
                                <a:ext cx="2253279" cy="3570167"/>
                              </a:xfrm>
                              <a:custGeom>
                                <a:avLst/>
                                <a:gdLst>
                                  <a:gd name="connsiteX0" fmla="*/ 0 w 3505200"/>
                                  <a:gd name="connsiteY0" fmla="*/ 0 h 7029450"/>
                                  <a:gd name="connsiteX1" fmla="*/ 3505200 w 3505200"/>
                                  <a:gd name="connsiteY1" fmla="*/ 0 h 7029450"/>
                                  <a:gd name="connsiteX2" fmla="*/ 3505200 w 3505200"/>
                                  <a:gd name="connsiteY2" fmla="*/ 7029450 h 7029450"/>
                                  <a:gd name="connsiteX3" fmla="*/ 0 w 3505200"/>
                                  <a:gd name="connsiteY3" fmla="*/ 7029450 h 7029450"/>
                                  <a:gd name="connsiteX4" fmla="*/ 0 w 3505200"/>
                                  <a:gd name="connsiteY4" fmla="*/ 0 h 7029450"/>
                                  <a:gd name="connsiteX0" fmla="*/ 647700 w 4152900"/>
                                  <a:gd name="connsiteY0" fmla="*/ 0 h 7315200"/>
                                  <a:gd name="connsiteX1" fmla="*/ 4152900 w 4152900"/>
                                  <a:gd name="connsiteY1" fmla="*/ 0 h 7315200"/>
                                  <a:gd name="connsiteX2" fmla="*/ 4152900 w 4152900"/>
                                  <a:gd name="connsiteY2" fmla="*/ 7029450 h 7315200"/>
                                  <a:gd name="connsiteX3" fmla="*/ 0 w 4152900"/>
                                  <a:gd name="connsiteY3" fmla="*/ 7315200 h 7315200"/>
                                  <a:gd name="connsiteX4" fmla="*/ 647700 w 4152900"/>
                                  <a:gd name="connsiteY4" fmla="*/ 0 h 7315200"/>
                                  <a:gd name="connsiteX0" fmla="*/ 647700 w 4152900"/>
                                  <a:gd name="connsiteY0" fmla="*/ 0 h 7353300"/>
                                  <a:gd name="connsiteX1" fmla="*/ 4152900 w 4152900"/>
                                  <a:gd name="connsiteY1" fmla="*/ 0 h 7353300"/>
                                  <a:gd name="connsiteX2" fmla="*/ 19050 w 4152900"/>
                                  <a:gd name="connsiteY2" fmla="*/ 7353300 h 7353300"/>
                                  <a:gd name="connsiteX3" fmla="*/ 0 w 4152900"/>
                                  <a:gd name="connsiteY3" fmla="*/ 7315200 h 7353300"/>
                                  <a:gd name="connsiteX4" fmla="*/ 647700 w 4152900"/>
                                  <a:gd name="connsiteY4" fmla="*/ 0 h 7353300"/>
                                  <a:gd name="connsiteX0" fmla="*/ 867600 w 4372800"/>
                                  <a:gd name="connsiteY0" fmla="*/ 0 h 7353300"/>
                                  <a:gd name="connsiteX1" fmla="*/ 4372800 w 4372800"/>
                                  <a:gd name="connsiteY1" fmla="*/ 0 h 7353300"/>
                                  <a:gd name="connsiteX2" fmla="*/ 238950 w 4372800"/>
                                  <a:gd name="connsiteY2" fmla="*/ 7353300 h 7353300"/>
                                  <a:gd name="connsiteX3" fmla="*/ 0 w 4372800"/>
                                  <a:gd name="connsiteY3" fmla="*/ 6092380 h 7353300"/>
                                  <a:gd name="connsiteX4" fmla="*/ 867600 w 4372800"/>
                                  <a:gd name="connsiteY4" fmla="*/ 0 h 7353300"/>
                                  <a:gd name="connsiteX0" fmla="*/ 867600 w 4372800"/>
                                  <a:gd name="connsiteY0" fmla="*/ 0 h 6092380"/>
                                  <a:gd name="connsiteX1" fmla="*/ 4372800 w 4372800"/>
                                  <a:gd name="connsiteY1" fmla="*/ 0 h 6092380"/>
                                  <a:gd name="connsiteX2" fmla="*/ 0 w 4372800"/>
                                  <a:gd name="connsiteY2" fmla="*/ 6092380 h 6092380"/>
                                  <a:gd name="connsiteX3" fmla="*/ 867600 w 4372800"/>
                                  <a:gd name="connsiteY3" fmla="*/ 0 h 6092380"/>
                                  <a:gd name="connsiteX0" fmla="*/ 341455 w 4372800"/>
                                  <a:gd name="connsiteY0" fmla="*/ 23168 h 6092380"/>
                                  <a:gd name="connsiteX1" fmla="*/ 4372800 w 4372800"/>
                                  <a:gd name="connsiteY1" fmla="*/ 0 h 6092380"/>
                                  <a:gd name="connsiteX2" fmla="*/ 0 w 4372800"/>
                                  <a:gd name="connsiteY2" fmla="*/ 6092380 h 6092380"/>
                                  <a:gd name="connsiteX3" fmla="*/ 341455 w 4372800"/>
                                  <a:gd name="connsiteY3" fmla="*/ 23168 h 6092380"/>
                                  <a:gd name="connsiteX0" fmla="*/ 65769 w 4372800"/>
                                  <a:gd name="connsiteY0" fmla="*/ 46335 h 6092380"/>
                                  <a:gd name="connsiteX1" fmla="*/ 4372800 w 4372800"/>
                                  <a:gd name="connsiteY1" fmla="*/ 0 h 6092380"/>
                                  <a:gd name="connsiteX2" fmla="*/ 0 w 4372800"/>
                                  <a:gd name="connsiteY2" fmla="*/ 6092380 h 6092380"/>
                                  <a:gd name="connsiteX3" fmla="*/ 65769 w 4372800"/>
                                  <a:gd name="connsiteY3" fmla="*/ 46335 h 6092380"/>
                                  <a:gd name="connsiteX0" fmla="*/ 65769 w 5084259"/>
                                  <a:gd name="connsiteY0" fmla="*/ 13997 h 6060042"/>
                                  <a:gd name="connsiteX1" fmla="*/ 5084260 w 5084259"/>
                                  <a:gd name="connsiteY1" fmla="*/ -1 h 6060042"/>
                                  <a:gd name="connsiteX2" fmla="*/ 0 w 5084259"/>
                                  <a:gd name="connsiteY2" fmla="*/ 6060042 h 6060042"/>
                                  <a:gd name="connsiteX3" fmla="*/ 65769 w 5084259"/>
                                  <a:gd name="connsiteY3" fmla="*/ 13997 h 6060042"/>
                                </a:gdLst>
                                <a:ahLst/>
                                <a:cxnLst>
                                  <a:cxn ang="0">
                                    <a:pos x="connsiteX0" y="connsiteY0"/>
                                  </a:cxn>
                                  <a:cxn ang="0">
                                    <a:pos x="connsiteX1" y="connsiteY1"/>
                                  </a:cxn>
                                  <a:cxn ang="0">
                                    <a:pos x="connsiteX2" y="connsiteY2"/>
                                  </a:cxn>
                                  <a:cxn ang="0">
                                    <a:pos x="connsiteX3" y="connsiteY3"/>
                                  </a:cxn>
                                </a:cxnLst>
                                <a:rect l="l" t="t" r="r" b="b"/>
                                <a:pathLst>
                                  <a:path w="5084259" h="6060042">
                                    <a:moveTo>
                                      <a:pt x="65769" y="13997"/>
                                    </a:moveTo>
                                    <a:lnTo>
                                      <a:pt x="5084260" y="-1"/>
                                    </a:lnTo>
                                    <a:lnTo>
                                      <a:pt x="0" y="6060042"/>
                                    </a:lnTo>
                                    <a:lnTo>
                                      <a:pt x="65769" y="13997"/>
                                    </a:lnTo>
                                    <a:close/>
                                  </a:path>
                                </a:pathLst>
                              </a:custGeom>
                              <a:blipFill dpi="0" rotWithShape="1">
                                <a:blip r:embed="rId8">
                                  <a:alphaModFix amt="90000"/>
                                  <a:duotone>
                                    <a:prstClr val="black"/>
                                    <a:schemeClr val="accent2">
                                      <a:tint val="45000"/>
                                      <a:satMod val="400000"/>
                                    </a:schemeClr>
                                  </a:duotone>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2471638" name="Conector recto 882471638"/>
                            <wps:cNvCnPr/>
                            <wps:spPr>
                              <a:xfrm flipV="1">
                                <a:off x="0" y="0"/>
                                <a:ext cx="2446020" cy="3823335"/>
                              </a:xfrm>
                              <a:prstGeom prst="line">
                                <a:avLst/>
                              </a:prstGeom>
                              <a:ln w="31750">
                                <a:solidFill>
                                  <a:srgbClr val="632523"/>
                                </a:solidFill>
                              </a:ln>
                            </wps:spPr>
                            <wps:style>
                              <a:lnRef idx="1">
                                <a:schemeClr val="accent1"/>
                              </a:lnRef>
                              <a:fillRef idx="0">
                                <a:schemeClr val="accent1"/>
                              </a:fillRef>
                              <a:effectRef idx="0">
                                <a:schemeClr val="accent1"/>
                              </a:effectRef>
                              <a:fontRef idx="minor">
                                <a:schemeClr val="tx1"/>
                              </a:fontRef>
                            </wps:style>
                            <wps:bodyPr/>
                          </wps:wsp>
                          <wps:wsp>
                            <wps:cNvPr id="907011291" name="Conector recto 907011291"/>
                            <wps:cNvCnPr/>
                            <wps:spPr>
                              <a:xfrm flipV="1">
                                <a:off x="158256" y="32010"/>
                                <a:ext cx="0" cy="3532658"/>
                              </a:xfrm>
                              <a:prstGeom prst="line">
                                <a:avLst/>
                              </a:prstGeom>
                              <a:ln w="31750">
                                <a:solidFill>
                                  <a:srgbClr val="632523"/>
                                </a:solidFill>
                              </a:ln>
                            </wps:spPr>
                            <wps:style>
                              <a:lnRef idx="1">
                                <a:schemeClr val="accent1"/>
                              </a:lnRef>
                              <a:fillRef idx="0">
                                <a:schemeClr val="accent1"/>
                              </a:fillRef>
                              <a:effectRef idx="0">
                                <a:schemeClr val="accent1"/>
                              </a:effectRef>
                              <a:fontRef idx="minor">
                                <a:schemeClr val="tx1"/>
                              </a:fontRef>
                            </wps:style>
                            <wps:bodyPr/>
                          </wps:wsp>
                          <wps:wsp>
                            <wps:cNvPr id="547312757" name="Conector recto 547312757"/>
                            <wps:cNvCnPr/>
                            <wps:spPr>
                              <a:xfrm>
                                <a:off x="144707" y="60068"/>
                                <a:ext cx="2223462" cy="11072"/>
                              </a:xfrm>
                              <a:prstGeom prst="line">
                                <a:avLst/>
                              </a:prstGeom>
                              <a:ln w="31750">
                                <a:solidFill>
                                  <a:srgbClr val="632523"/>
                                </a:solidFill>
                              </a:ln>
                            </wps:spPr>
                            <wps:style>
                              <a:lnRef idx="1">
                                <a:schemeClr val="accent1"/>
                              </a:lnRef>
                              <a:fillRef idx="0">
                                <a:schemeClr val="accent1"/>
                              </a:fillRef>
                              <a:effectRef idx="0">
                                <a:schemeClr val="accent1"/>
                              </a:effectRef>
                              <a:fontRef idx="minor">
                                <a:schemeClr val="tx1"/>
                              </a:fontRef>
                            </wps:style>
                            <wps:bodyPr/>
                          </wps:wsp>
                        </wpg:grpSp>
                        <wps:wsp>
                          <wps:cNvPr id="1954910591" name="Conector recto 1954910591"/>
                          <wps:cNvCnPr/>
                          <wps:spPr>
                            <a:xfrm flipV="1">
                              <a:off x="114300" y="3810"/>
                              <a:ext cx="2446086" cy="3823854"/>
                            </a:xfrm>
                            <a:prstGeom prst="line">
                              <a:avLst/>
                            </a:prstGeom>
                            <a:ln w="19050">
                              <a:solidFill>
                                <a:srgbClr val="632523"/>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12463760" id="Grupo 50" o:spid="_x0000_s1026" style="position:absolute;margin-left:-94.75pt;margin-top:-88.25pt;width:183.9pt;height:279.55pt;z-index:251751936;mso-width-relative:margin;mso-height-relative:margin" coordsize="25603,382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">
                <v:line id="Conector recto 710740449" o:spid="_x0000_s1027" style="position:absolute;flip:y;visibility:visible;mso-wrap-style:square" from="571,0" to="25032,38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" strokecolor="#632523" strokeweight="1.5pt"/>
                <v:group id="Grupo 49" o:spid="_x0000_s1028" style="position:absolute;width:25603;height:38276" coordsize="25603,3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">
                  <v:group id="Grupo 48" o:spid="_x0000_s1029" style="position:absolute;width:24460;height:38233" coordsize="24460,38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">
                    <v:shape id="Rectángulo 480" o:spid="_x0000_s1030" style="position:absolute;left:1148;top:582;width:22533;height:35701;visibility:visible;mso-wrap-style:square;v-text-anchor:middle" coordsize="5084259,6060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" path="m65769,13997l5084260,-1,,6060042,65769,13997xe" stroked="f" strokeweight="2pt">
                      <v:fill r:id="rId9" o:title="" opacity="58982f" recolor="t" rotate="t" type="frame"/>
                      <v:imagedata recolortarget="black"/>
                      <v:path arrowok="t" o:connecttype="custom" o:connectlocs="29148,8246;2253279,-1;0,3570167;29148,8246" o:connectangles="0,0,0,0"/>
                    </v:shape>
                    <v:line id="Conector recto 882471638" o:spid="_x0000_s1031" style="position:absolute;flip:y;visibility:visible;mso-wrap-style:square" from="0,0" to="24460,38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" strokecolor="#632523" strokeweight="2.5pt"/>
                    <v:line id="Conector recto 907011291" o:spid="_x0000_s1032" style="position:absolute;flip:y;visibility:visible;mso-wrap-style:square" from="1582,320" to="1582,35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" strokecolor="#632523" strokeweight="2.5pt"/>
                    <v:line id="Conector recto 547312757" o:spid="_x0000_s1033" style="position:absolute;visibility:visible;mso-wrap-style:square" from="1447,600" to="23681,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" strokecolor="#632523" strokeweight="2.5pt"/>
                  </v:group>
                  <v:line id="Conector recto 1954910591" o:spid="_x0000_s1034" style="position:absolute;flip:y;visibility:visible;mso-wrap-style:square" from="1143,38" to="25603,38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" strokecolor="#632523" strokeweight="1.5pt"/>
                </v:group>
              </v:group>
            </w:pict>
          </mc:Fallback>
        </mc:AlternateContent>
      </w:r>
      <w:r w:rsidRPr="002150BE">
        <w:rPr>
          <w:rFonts w:asciiTheme="minorHAnsi" w:hAnsiTheme="minorHAnsi" w:cstheme="minorHAnsi"/>
          <w:noProof/>
          <w:lang w:eastAsia="es-MX"/>
        </w:rPr>
        <mc:AlternateContent>
          <mc:Choice Requires="wps">
            <w:drawing>
              <wp:anchor distT="0" distB="0" distL="114300" distR="114300" simplePos="0" relativeHeight="251752960" behindDoc="0" locked="0" layoutInCell="1" allowOverlap="1" wp14:anchorId="0455B14F" wp14:editId="667FD39D">
                <wp:simplePos x="0" y="0"/>
                <wp:positionH relativeFrom="column">
                  <wp:posOffset>5336540</wp:posOffset>
                </wp:positionH>
                <wp:positionV relativeFrom="paragraph">
                  <wp:posOffset>-930003</wp:posOffset>
                </wp:positionV>
                <wp:extent cx="1616982" cy="695325"/>
                <wp:effectExtent l="3492" t="0" r="6033" b="6032"/>
                <wp:wrapNone/>
                <wp:docPr id="7" name="Pentágono 7"/>
                <wp:cNvGraphicFramePr/>
                <a:graphic xmlns:a="http://schemas.openxmlformats.org/drawingml/2006/main">
                  <a:graphicData uri="http://schemas.microsoft.com/office/word/2010/wordprocessingShape">
                    <wps:wsp>
                      <wps:cNvSpPr/>
                      <wps:spPr>
                        <a:xfrm rot="5400000" flipV="1">
                          <a:off x="0" y="0"/>
                          <a:ext cx="1616982" cy="695325"/>
                        </a:xfrm>
                        <a:prstGeom prst="homePlate">
                          <a:avLst/>
                        </a:prstGeom>
                        <a:solidFill>
                          <a:schemeClr val="accent2">
                            <a:lumMod val="75000"/>
                            <a:alpha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B06384"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7" o:spid="_x0000_s1026" type="#_x0000_t15" style="position:absolute;margin-left:420.2pt;margin-top:-73.25pt;width:127.3pt;height:54.75pt;rotation:-90;flip:y;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" adj="16956" fillcolor="#943634 [2405]" stroked="f" strokeweight="2pt">
                <v:fill opacity="39321f"/>
              </v:shape>
            </w:pict>
          </mc:Fallback>
        </mc:AlternateContent>
      </w:r>
      <w:r w:rsidRPr="002150BE">
        <w:rPr>
          <w:rFonts w:asciiTheme="minorHAnsi" w:hAnsiTheme="minorHAnsi" w:cstheme="minorHAnsi"/>
          <w:noProof/>
          <w:lang w:eastAsia="es-MX"/>
        </w:rPr>
        <w:drawing>
          <wp:anchor distT="0" distB="0" distL="114300" distR="114300" simplePos="0" relativeHeight="251748864" behindDoc="0" locked="0" layoutInCell="1" allowOverlap="1" wp14:anchorId="50E62129" wp14:editId="27931270">
            <wp:simplePos x="0" y="0"/>
            <wp:positionH relativeFrom="column">
              <wp:posOffset>1122680</wp:posOffset>
            </wp:positionH>
            <wp:positionV relativeFrom="paragraph">
              <wp:posOffset>-494439</wp:posOffset>
            </wp:positionV>
            <wp:extent cx="3341370" cy="1282065"/>
            <wp:effectExtent l="0" t="0" r="0" b="0"/>
            <wp:wrapNone/>
            <wp:docPr id="21" name="1 Imagen"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1 Imagen" descr="Logotipo, nombre de la empresa&#10;&#10;Descripción generada automáticamente"/>
                    <pic:cNvPicPr>
                      <a:picLocks noChangeAspect="1"/>
                    </pic:cNvPicPr>
                  </pic:nvPicPr>
                  <pic:blipFill rotWithShape="1">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l="13030" t="28403" r="12347" b="28624"/>
                    <a:stretch/>
                  </pic:blipFill>
                  <pic:spPr>
                    <a:xfrm>
                      <a:off x="0" y="0"/>
                      <a:ext cx="3341370" cy="1282065"/>
                    </a:xfrm>
                    <a:prstGeom prst="rect">
                      <a:avLst/>
                    </a:prstGeom>
                  </pic:spPr>
                </pic:pic>
              </a:graphicData>
            </a:graphic>
            <wp14:sizeRelH relativeFrom="margin">
              <wp14:pctWidth>0</wp14:pctWidth>
            </wp14:sizeRelH>
            <wp14:sizeRelV relativeFrom="margin">
              <wp14:pctHeight>0</wp14:pctHeight>
            </wp14:sizeRelV>
          </wp:anchor>
        </w:drawing>
      </w:r>
      <w:r w:rsidR="004F7314">
        <w:rPr>
          <w:rFonts w:asciiTheme="minorHAnsi" w:hAnsiTheme="minorHAnsi" w:cstheme="minorHAnsi"/>
          <w:b/>
          <w:bCs/>
        </w:rPr>
        <w:t xml:space="preserve"> </w:t>
      </w:r>
    </w:p>
    <w:p w14:paraId="36FA7115" w14:textId="653D1CBB" w:rsidR="00351D39" w:rsidRPr="002150BE" w:rsidRDefault="00B7278C" w:rsidP="00351D39">
      <w:pPr>
        <w:rPr>
          <w:rFonts w:asciiTheme="minorHAnsi" w:eastAsiaTheme="majorEastAsia" w:hAnsiTheme="minorHAnsi" w:cstheme="minorHAnsi"/>
          <w:b/>
          <w:bCs/>
          <w:smallCaps/>
          <w:color w:val="651D32"/>
          <w:sz w:val="32"/>
          <w:szCs w:val="32"/>
          <w:lang w:eastAsia="es-MX"/>
        </w:rPr>
        <w:sectPr w:rsidR="00351D39" w:rsidRPr="002150BE" w:rsidSect="00351D39">
          <w:pgSz w:w="12240" w:h="15840" w:code="1"/>
          <w:pgMar w:top="1701" w:right="1701" w:bottom="1134" w:left="1701" w:header="709" w:footer="1117" w:gutter="0"/>
          <w:pgNumType w:start="1"/>
          <w:cols w:space="708"/>
          <w:titlePg/>
          <w:docGrid w:linePitch="360"/>
        </w:sectPr>
      </w:pPr>
      <w:r w:rsidRPr="002150BE">
        <w:rPr>
          <w:rFonts w:asciiTheme="minorHAnsi" w:eastAsiaTheme="majorEastAsia" w:hAnsiTheme="minorHAnsi" w:cstheme="minorHAnsi"/>
          <w:b/>
          <w:bCs/>
          <w:smallCaps/>
          <w:noProof/>
          <w:color w:val="651D32"/>
          <w:sz w:val="32"/>
          <w:szCs w:val="32"/>
          <w:lang w:eastAsia="es-MX"/>
        </w:rPr>
        <mc:AlternateContent>
          <mc:Choice Requires="wps">
            <w:drawing>
              <wp:anchor distT="0" distB="0" distL="114300" distR="114300" simplePos="0" relativeHeight="251656192" behindDoc="0" locked="0" layoutInCell="1" allowOverlap="1" wp14:anchorId="23FDF3B6" wp14:editId="277D9271">
                <wp:simplePos x="0" y="0"/>
                <wp:positionH relativeFrom="column">
                  <wp:posOffset>291465</wp:posOffset>
                </wp:positionH>
                <wp:positionV relativeFrom="paragraph">
                  <wp:posOffset>2789555</wp:posOffset>
                </wp:positionV>
                <wp:extent cx="5229860" cy="1009650"/>
                <wp:effectExtent l="0" t="0" r="0" b="0"/>
                <wp:wrapNone/>
                <wp:docPr id="803116946" name="CuadroTexto 11"/>
                <wp:cNvGraphicFramePr/>
                <a:graphic xmlns:a="http://schemas.openxmlformats.org/drawingml/2006/main">
                  <a:graphicData uri="http://schemas.microsoft.com/office/word/2010/wordprocessingShape">
                    <wps:wsp>
                      <wps:cNvSpPr txBox="1"/>
                      <wps:spPr>
                        <a:xfrm>
                          <a:off x="0" y="0"/>
                          <a:ext cx="5229860" cy="1009650"/>
                        </a:xfrm>
                        <a:prstGeom prst="rect">
                          <a:avLst/>
                        </a:prstGeom>
                        <a:noFill/>
                      </wps:spPr>
                      <wps:txbx>
                        <w:txbxContent>
                          <w:p w14:paraId="774E6D69" w14:textId="6E33AD29" w:rsidR="00F43EAE" w:rsidRPr="000E2936" w:rsidRDefault="00F43EAE" w:rsidP="00351D39">
                            <w:pPr>
                              <w:pStyle w:val="TDC4"/>
                              <w:jc w:val="center"/>
                              <w:rPr>
                                <w:b w:val="0"/>
                                <w:smallCaps w:val="0"/>
                                <w:color w:val="404040" w:themeColor="text1" w:themeTint="BF"/>
                                <w:sz w:val="48"/>
                              </w:rPr>
                            </w:pPr>
                            <w:r>
                              <w:rPr>
                                <w:color w:val="404040" w:themeColor="text1" w:themeTint="BF"/>
                                <w:sz w:val="48"/>
                              </w:rPr>
                              <w:t>Universidad tecnológica de Culiacán</w:t>
                            </w:r>
                            <w:r w:rsidR="00B7278C">
                              <w:rPr>
                                <w:color w:val="404040" w:themeColor="text1" w:themeTint="BF"/>
                                <w:sz w:val="48"/>
                              </w:rPr>
                              <w:t xml:space="preserve"> (UTC)</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3FDF3B6" id="_x0000_t202" coordsize="21600,21600" o:spt="202" path="m,l,21600r21600,l21600,xe">
                <v:stroke joinstyle="miter"/>
                <v:path gradientshapeok="t" o:connecttype="rect"/>
              </v:shapetype>
              <v:shape id="CuadroTexto 11" o:spid="_x0000_s1026" type="#_x0000_t202" style="position:absolute;left:0;text-align:left;margin-left:22.95pt;margin-top:219.65pt;width:411.8pt;height:7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" filled="f" stroked="f">
                <v:textbox>
                  <w:txbxContent>
                    <w:p w14:paraId="774E6D69" w14:textId="6E33AD29" w:rsidR="00F43EAE" w:rsidRPr="000E2936" w:rsidRDefault="00F43EAE" w:rsidP="00351D39">
                      <w:pPr>
                        <w:pStyle w:val="TDC4"/>
                        <w:jc w:val="center"/>
                        <w:rPr>
                          <w:b w:val="0"/>
                          <w:smallCaps w:val="0"/>
                          <w:color w:val="404040" w:themeColor="text1" w:themeTint="BF"/>
                          <w:sz w:val="48"/>
                        </w:rPr>
                      </w:pPr>
                      <w:r>
                        <w:rPr>
                          <w:color w:val="404040" w:themeColor="text1" w:themeTint="BF"/>
                          <w:sz w:val="48"/>
                        </w:rPr>
                        <w:t>Universidad tecnológica de Culiacán</w:t>
                      </w:r>
                      <w:r w:rsidR="00B7278C">
                        <w:rPr>
                          <w:color w:val="404040" w:themeColor="text1" w:themeTint="BF"/>
                          <w:sz w:val="48"/>
                        </w:rPr>
                        <w:t xml:space="preserve"> (UTC)</w:t>
                      </w:r>
                    </w:p>
                  </w:txbxContent>
                </v:textbox>
              </v:shape>
            </w:pict>
          </mc:Fallback>
        </mc:AlternateContent>
      </w:r>
      <w:r w:rsidR="00AC4030" w:rsidRPr="002150BE">
        <w:rPr>
          <w:rFonts w:asciiTheme="minorHAnsi" w:eastAsiaTheme="majorEastAsia" w:hAnsiTheme="minorHAnsi" w:cstheme="minorHAnsi"/>
          <w:b/>
          <w:bCs/>
          <w:smallCaps/>
          <w:noProof/>
          <w:color w:val="651D32"/>
          <w:sz w:val="32"/>
          <w:szCs w:val="32"/>
          <w:lang w:eastAsia="es-MX"/>
        </w:rPr>
        <w:drawing>
          <wp:anchor distT="0" distB="0" distL="114300" distR="114300" simplePos="0" relativeHeight="251658240" behindDoc="1" locked="0" layoutInCell="1" allowOverlap="1" wp14:anchorId="503725C8" wp14:editId="7DFA5E97">
            <wp:simplePos x="0" y="0"/>
            <wp:positionH relativeFrom="column">
              <wp:posOffset>3195955</wp:posOffset>
            </wp:positionH>
            <wp:positionV relativeFrom="paragraph">
              <wp:posOffset>6584315</wp:posOffset>
            </wp:positionV>
            <wp:extent cx="1628775" cy="725500"/>
            <wp:effectExtent l="0" t="0" r="0" b="0"/>
            <wp:wrapNone/>
            <wp:docPr id="1237413249" name="Imagen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8775" cy="725500"/>
                    </a:xfrm>
                    <a:prstGeom prst="rect">
                      <a:avLst/>
                    </a:prstGeom>
                    <a:noFill/>
                  </pic:spPr>
                </pic:pic>
              </a:graphicData>
            </a:graphic>
            <wp14:sizeRelH relativeFrom="margin">
              <wp14:pctWidth>0</wp14:pctWidth>
            </wp14:sizeRelH>
            <wp14:sizeRelV relativeFrom="margin">
              <wp14:pctHeight>0</wp14:pctHeight>
            </wp14:sizeRelV>
          </wp:anchor>
        </w:drawing>
      </w:r>
      <w:r w:rsidR="00383F8D" w:rsidRPr="002150BE">
        <w:rPr>
          <w:rFonts w:asciiTheme="minorHAnsi" w:eastAsiaTheme="majorEastAsia" w:hAnsiTheme="minorHAnsi" w:cstheme="minorHAnsi"/>
          <w:b/>
          <w:bCs/>
          <w:smallCaps/>
          <w:noProof/>
          <w:color w:val="651D32"/>
          <w:sz w:val="32"/>
          <w:szCs w:val="32"/>
          <w:lang w:eastAsia="es-MX"/>
        </w:rPr>
        <mc:AlternateContent>
          <mc:Choice Requires="wps">
            <w:drawing>
              <wp:anchor distT="0" distB="0" distL="114300" distR="114300" simplePos="0" relativeHeight="251745792" behindDoc="0" locked="0" layoutInCell="1" allowOverlap="1" wp14:anchorId="78212292" wp14:editId="2A38364C">
                <wp:simplePos x="0" y="0"/>
                <wp:positionH relativeFrom="column">
                  <wp:posOffset>148590</wp:posOffset>
                </wp:positionH>
                <wp:positionV relativeFrom="paragraph">
                  <wp:posOffset>4457700</wp:posOffset>
                </wp:positionV>
                <wp:extent cx="5596255" cy="400050"/>
                <wp:effectExtent l="0" t="0" r="0" b="0"/>
                <wp:wrapNone/>
                <wp:docPr id="1620669491" name="CuadroTexto 11"/>
                <wp:cNvGraphicFramePr/>
                <a:graphic xmlns:a="http://schemas.openxmlformats.org/drawingml/2006/main">
                  <a:graphicData uri="http://schemas.microsoft.com/office/word/2010/wordprocessingShape">
                    <wps:wsp>
                      <wps:cNvSpPr txBox="1"/>
                      <wps:spPr>
                        <a:xfrm>
                          <a:off x="0" y="0"/>
                          <a:ext cx="5596255" cy="400050"/>
                        </a:xfrm>
                        <a:prstGeom prst="rect">
                          <a:avLst/>
                        </a:prstGeom>
                        <a:noFill/>
                      </wps:spPr>
                      <wps:txbx>
                        <w:txbxContent>
                          <w:p w14:paraId="1D0F19A3" w14:textId="77777777" w:rsidR="00F43EAE" w:rsidRPr="000E2936" w:rsidRDefault="00F43EAE" w:rsidP="00351D39">
                            <w:pPr>
                              <w:pStyle w:val="TDC4"/>
                              <w:jc w:val="center"/>
                              <w:rPr>
                                <w:b w:val="0"/>
                                <w:smallCaps w:val="0"/>
                                <w:color w:val="404040" w:themeColor="text1" w:themeTint="BF"/>
                                <w:sz w:val="52"/>
                                <w:szCs w:val="50"/>
                              </w:rPr>
                            </w:pPr>
                            <w:r w:rsidRPr="000E2936">
                              <w:rPr>
                                <w:color w:val="404040" w:themeColor="text1" w:themeTint="BF"/>
                                <w:sz w:val="52"/>
                                <w:szCs w:val="50"/>
                              </w:rPr>
                              <w:t xml:space="preserve">Evaluación de </w:t>
                            </w:r>
                            <w:r>
                              <w:rPr>
                                <w:color w:val="404040" w:themeColor="text1" w:themeTint="BF"/>
                                <w:sz w:val="52"/>
                                <w:szCs w:val="50"/>
                              </w:rPr>
                              <w:t>Diseño</w:t>
                            </w:r>
                          </w:p>
                          <w:p w14:paraId="6757329E" w14:textId="77777777" w:rsidR="00F43EAE" w:rsidRPr="000E2936" w:rsidRDefault="00F43EAE" w:rsidP="00351D39">
                            <w:pPr>
                              <w:pStyle w:val="TDC4"/>
                              <w:jc w:val="center"/>
                              <w:rPr>
                                <w:b w:val="0"/>
                                <w:smallCaps w:val="0"/>
                                <w:color w:val="404040" w:themeColor="text1" w:themeTint="BF"/>
                                <w:sz w:val="52"/>
                                <w:szCs w:val="50"/>
                              </w:rPr>
                            </w:pPr>
                            <w:r>
                              <w:rPr>
                                <w:color w:val="404040" w:themeColor="text1" w:themeTint="BF"/>
                                <w:sz w:val="52"/>
                                <w:szCs w:val="50"/>
                              </w:rPr>
                              <w:t>2024</w:t>
                            </w:r>
                          </w:p>
                        </w:txbxContent>
                      </wps:txbx>
                      <wps:bodyPr wrap="square" rtlCol="0">
                        <a:spAutoFit/>
                      </wps:bodyPr>
                    </wps:wsp>
                  </a:graphicData>
                </a:graphic>
                <wp14:sizeRelH relativeFrom="margin">
                  <wp14:pctWidth>0</wp14:pctWidth>
                </wp14:sizeRelH>
              </wp:anchor>
            </w:drawing>
          </mc:Choice>
          <mc:Fallback>
            <w:pict>
              <v:shape w14:anchorId="78212292" id="_x0000_s1027" type="#_x0000_t202" style="position:absolute;left:0;text-align:left;margin-left:11.7pt;margin-top:351pt;width:440.65pt;height:31.5pt;z-index:251745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" filled="f" stroked="f">
                <v:textbox style="mso-fit-shape-to-text:t">
                  <w:txbxContent>
                    <w:p w14:paraId="1D0F19A3" w14:textId="77777777" w:rsidR="00F43EAE" w:rsidRPr="000E2936" w:rsidRDefault="00F43EAE" w:rsidP="00351D39">
                      <w:pPr>
                        <w:pStyle w:val="TDC4"/>
                        <w:jc w:val="center"/>
                        <w:rPr>
                          <w:b w:val="0"/>
                          <w:smallCaps w:val="0"/>
                          <w:color w:val="404040" w:themeColor="text1" w:themeTint="BF"/>
                          <w:sz w:val="52"/>
                          <w:szCs w:val="50"/>
                        </w:rPr>
                      </w:pPr>
                      <w:r w:rsidRPr="000E2936">
                        <w:rPr>
                          <w:color w:val="404040" w:themeColor="text1" w:themeTint="BF"/>
                          <w:sz w:val="52"/>
                          <w:szCs w:val="50"/>
                        </w:rPr>
                        <w:t xml:space="preserve">Evaluación de </w:t>
                      </w:r>
                      <w:r>
                        <w:rPr>
                          <w:color w:val="404040" w:themeColor="text1" w:themeTint="BF"/>
                          <w:sz w:val="52"/>
                          <w:szCs w:val="50"/>
                        </w:rPr>
                        <w:t>Diseño</w:t>
                      </w:r>
                    </w:p>
                    <w:p w14:paraId="6757329E" w14:textId="77777777" w:rsidR="00F43EAE" w:rsidRPr="000E2936" w:rsidRDefault="00F43EAE" w:rsidP="00351D39">
                      <w:pPr>
                        <w:pStyle w:val="TDC4"/>
                        <w:jc w:val="center"/>
                        <w:rPr>
                          <w:b w:val="0"/>
                          <w:smallCaps w:val="0"/>
                          <w:color w:val="404040" w:themeColor="text1" w:themeTint="BF"/>
                          <w:sz w:val="52"/>
                          <w:szCs w:val="50"/>
                        </w:rPr>
                      </w:pPr>
                      <w:r>
                        <w:rPr>
                          <w:color w:val="404040" w:themeColor="text1" w:themeTint="BF"/>
                          <w:sz w:val="52"/>
                          <w:szCs w:val="50"/>
                        </w:rPr>
                        <w:t>2024</w:t>
                      </w:r>
                    </w:p>
                  </w:txbxContent>
                </v:textbox>
              </v:shape>
            </w:pict>
          </mc:Fallback>
        </mc:AlternateContent>
      </w:r>
      <w:r w:rsidR="00383F8D" w:rsidRPr="002150BE">
        <w:rPr>
          <w:rFonts w:asciiTheme="minorHAnsi" w:eastAsiaTheme="majorEastAsia" w:hAnsiTheme="minorHAnsi" w:cstheme="minorHAnsi"/>
          <w:b/>
          <w:bCs/>
          <w:smallCaps/>
          <w:noProof/>
          <w:color w:val="651D32"/>
          <w:sz w:val="32"/>
          <w:szCs w:val="32"/>
          <w:lang w:eastAsia="es-MX"/>
        </w:rPr>
        <mc:AlternateContent>
          <mc:Choice Requires="wps">
            <w:drawing>
              <wp:anchor distT="0" distB="0" distL="114300" distR="114300" simplePos="0" relativeHeight="251744768" behindDoc="0" locked="0" layoutInCell="1" allowOverlap="1" wp14:anchorId="4987D3CE" wp14:editId="7AD569A3">
                <wp:simplePos x="0" y="0"/>
                <wp:positionH relativeFrom="column">
                  <wp:posOffset>266255</wp:posOffset>
                </wp:positionH>
                <wp:positionV relativeFrom="paragraph">
                  <wp:posOffset>1414780</wp:posOffset>
                </wp:positionV>
                <wp:extent cx="5364480" cy="400050"/>
                <wp:effectExtent l="0" t="0" r="0" b="0"/>
                <wp:wrapNone/>
                <wp:docPr id="12" name="CuadroTexto 11"/>
                <wp:cNvGraphicFramePr/>
                <a:graphic xmlns:a="http://schemas.openxmlformats.org/drawingml/2006/main">
                  <a:graphicData uri="http://schemas.microsoft.com/office/word/2010/wordprocessingShape">
                    <wps:wsp>
                      <wps:cNvSpPr txBox="1"/>
                      <wps:spPr>
                        <a:xfrm>
                          <a:off x="0" y="0"/>
                          <a:ext cx="5364480" cy="400050"/>
                        </a:xfrm>
                        <a:prstGeom prst="rect">
                          <a:avLst/>
                        </a:prstGeom>
                        <a:noFill/>
                      </wps:spPr>
                      <wps:txbx>
                        <w:txbxContent>
                          <w:p w14:paraId="36B96C55" w14:textId="0B829DFC" w:rsidR="00F43EAE" w:rsidRPr="009D7579" w:rsidRDefault="00F43EAE" w:rsidP="00351D39">
                            <w:pPr>
                              <w:pStyle w:val="TDC4"/>
                              <w:jc w:val="center"/>
                              <w:rPr>
                                <w:b w:val="0"/>
                                <w:smallCaps w:val="0"/>
                                <w:color w:val="404040" w:themeColor="text1" w:themeTint="BF"/>
                                <w:sz w:val="56"/>
                              </w:rPr>
                            </w:pPr>
                            <w:r w:rsidRPr="00AC4030">
                              <w:rPr>
                                <w:color w:val="404040" w:themeColor="text1" w:themeTint="BF"/>
                                <w:sz w:val="56"/>
                              </w:rPr>
                              <w:t>E053 Servicios de Educación Superior y Posgrado de Calidad</w:t>
                            </w:r>
                          </w:p>
                        </w:txbxContent>
                      </wps:txbx>
                      <wps:bodyPr wrap="square" rtlCol="0">
                        <a:spAutoFit/>
                      </wps:bodyPr>
                    </wps:wsp>
                  </a:graphicData>
                </a:graphic>
                <wp14:sizeRelH relativeFrom="margin">
                  <wp14:pctWidth>0</wp14:pctWidth>
                </wp14:sizeRelH>
              </wp:anchor>
            </w:drawing>
          </mc:Choice>
          <mc:Fallback>
            <w:pict>
              <v:shape w14:anchorId="4987D3CE" id="_x0000_s1028" type="#_x0000_t202" style="position:absolute;left:0;text-align:left;margin-left:20.95pt;margin-top:111.4pt;width:422.4pt;height:31.5pt;z-index:251744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" filled="f" stroked="f">
                <v:textbox style="mso-fit-shape-to-text:t">
                  <w:txbxContent>
                    <w:p w14:paraId="36B96C55" w14:textId="0B829DFC" w:rsidR="00F43EAE" w:rsidRPr="009D7579" w:rsidRDefault="00F43EAE" w:rsidP="00351D39">
                      <w:pPr>
                        <w:pStyle w:val="TDC4"/>
                        <w:jc w:val="center"/>
                        <w:rPr>
                          <w:b w:val="0"/>
                          <w:smallCaps w:val="0"/>
                          <w:color w:val="404040" w:themeColor="text1" w:themeTint="BF"/>
                          <w:sz w:val="56"/>
                        </w:rPr>
                      </w:pPr>
                      <w:r w:rsidRPr="00AC4030">
                        <w:rPr>
                          <w:color w:val="404040" w:themeColor="text1" w:themeTint="BF"/>
                          <w:sz w:val="56"/>
                        </w:rPr>
                        <w:t>E053 Servicios de Educación Superior y Posgrado de Calidad</w:t>
                      </w:r>
                    </w:p>
                  </w:txbxContent>
                </v:textbox>
              </v:shape>
            </w:pict>
          </mc:Fallback>
        </mc:AlternateContent>
      </w:r>
      <w:r w:rsidR="00383F8D" w:rsidRPr="002150BE">
        <w:rPr>
          <w:rFonts w:asciiTheme="minorHAnsi" w:eastAsiaTheme="majorEastAsia" w:hAnsiTheme="minorHAnsi" w:cstheme="minorHAnsi"/>
          <w:b/>
          <w:bCs/>
          <w:smallCaps/>
          <w:noProof/>
          <w:color w:val="651D32"/>
          <w:sz w:val="32"/>
          <w:szCs w:val="32"/>
          <w:lang w:eastAsia="es-MX"/>
        </w:rPr>
        <w:drawing>
          <wp:anchor distT="0" distB="0" distL="114300" distR="114300" simplePos="0" relativeHeight="251750912" behindDoc="0" locked="0" layoutInCell="1" allowOverlap="1" wp14:anchorId="68429051" wp14:editId="5CA7683D">
            <wp:simplePos x="0" y="0"/>
            <wp:positionH relativeFrom="column">
              <wp:posOffset>1079500</wp:posOffset>
            </wp:positionH>
            <wp:positionV relativeFrom="paragraph">
              <wp:posOffset>6508115</wp:posOffset>
            </wp:positionV>
            <wp:extent cx="1825625" cy="845820"/>
            <wp:effectExtent l="0" t="0" r="3175" b="0"/>
            <wp:wrapNone/>
            <wp:docPr id="40" name="Imagen 40" descr="Obligaciones de Transparencia - S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Obligaciones de Transparencia - SAF"/>
                    <pic:cNvPicPr>
                      <a:picLocks noChangeAspect="1"/>
                    </pic:cNvPicPr>
                  </pic:nvPicPr>
                  <pic:blipFill rotWithShape="1">
                    <a:blip r:embed="rId12">
                      <a:extLst>
                        <a:ext uri="{28A0092B-C50C-407E-A947-70E740481C1C}">
                          <a14:useLocalDpi xmlns:a14="http://schemas.microsoft.com/office/drawing/2010/main" val="0"/>
                        </a:ext>
                      </a:extLst>
                    </a:blip>
                    <a:srcRect l="24291" r="2"/>
                    <a:stretch/>
                  </pic:blipFill>
                  <pic:spPr bwMode="auto">
                    <a:xfrm>
                      <a:off x="0" y="0"/>
                      <a:ext cx="1825625" cy="845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1D39" w:rsidRPr="002150BE">
        <w:rPr>
          <w:rFonts w:asciiTheme="minorHAnsi" w:hAnsiTheme="minorHAnsi" w:cstheme="minorHAnsi"/>
          <w:noProof/>
          <w:lang w:eastAsia="es-MX"/>
        </w:rPr>
        <mc:AlternateContent>
          <mc:Choice Requires="wps">
            <w:drawing>
              <wp:anchor distT="0" distB="0" distL="114300" distR="114300" simplePos="0" relativeHeight="251743744" behindDoc="0" locked="0" layoutInCell="1" allowOverlap="1" wp14:anchorId="1D56CCD2" wp14:editId="25FC53E8">
                <wp:simplePos x="0" y="0"/>
                <wp:positionH relativeFrom="page">
                  <wp:posOffset>6390769</wp:posOffset>
                </wp:positionH>
                <wp:positionV relativeFrom="paragraph">
                  <wp:posOffset>7084535</wp:posOffset>
                </wp:positionV>
                <wp:extent cx="583054" cy="2227629"/>
                <wp:effectExtent l="0" t="3175" r="4445" b="4445"/>
                <wp:wrapNone/>
                <wp:docPr id="1749629770" name="Rectángulo 1749629770"/>
                <wp:cNvGraphicFramePr/>
                <a:graphic xmlns:a="http://schemas.openxmlformats.org/drawingml/2006/main">
                  <a:graphicData uri="http://schemas.microsoft.com/office/word/2010/wordprocessingShape">
                    <wps:wsp>
                      <wps:cNvSpPr/>
                      <wps:spPr>
                        <a:xfrm rot="16200000">
                          <a:off x="0" y="0"/>
                          <a:ext cx="583054" cy="2227629"/>
                        </a:xfrm>
                        <a:prstGeom prst="rect">
                          <a:avLst/>
                        </a:prstGeom>
                        <a:solidFill>
                          <a:schemeClr val="accent2">
                            <a:lumMod val="50000"/>
                            <a:alpha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5A41A" id="Rectángulo 1749629770" o:spid="_x0000_s1026" style="position:absolute;margin-left:503.2pt;margin-top:557.85pt;width:45.9pt;height:175.4pt;rotation:-90;z-index:251743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" fillcolor="#622423 [1605]" stroked="f" strokeweight="2pt">
                <v:fill opacity="6682f"/>
                <w10:wrap anchorx="page"/>
              </v:rect>
            </w:pict>
          </mc:Fallback>
        </mc:AlternateContent>
      </w:r>
      <w:r w:rsidR="00351D39" w:rsidRPr="002150BE">
        <w:rPr>
          <w:rFonts w:asciiTheme="minorHAnsi" w:eastAsiaTheme="majorEastAsia" w:hAnsiTheme="minorHAnsi" w:cstheme="minorHAnsi"/>
          <w:b/>
          <w:bCs/>
          <w:smallCaps/>
          <w:noProof/>
          <w:color w:val="651D32"/>
          <w:sz w:val="32"/>
          <w:szCs w:val="32"/>
          <w:lang w:eastAsia="es-MX"/>
        </w:rPr>
        <mc:AlternateContent>
          <mc:Choice Requires="wps">
            <w:drawing>
              <wp:anchor distT="0" distB="0" distL="114300" distR="114300" simplePos="0" relativeHeight="251746816" behindDoc="0" locked="0" layoutInCell="1" allowOverlap="1" wp14:anchorId="5C2BA6EC" wp14:editId="11AF9C0E">
                <wp:simplePos x="0" y="0"/>
                <wp:positionH relativeFrom="column">
                  <wp:posOffset>-1726784</wp:posOffset>
                </wp:positionH>
                <wp:positionV relativeFrom="paragraph">
                  <wp:posOffset>7908858</wp:posOffset>
                </wp:positionV>
                <wp:extent cx="6867591" cy="587375"/>
                <wp:effectExtent l="0" t="0" r="28575" b="22225"/>
                <wp:wrapNone/>
                <wp:docPr id="307169068" name="Rectángulo 15"/>
                <wp:cNvGraphicFramePr/>
                <a:graphic xmlns:a="http://schemas.openxmlformats.org/drawingml/2006/main">
                  <a:graphicData uri="http://schemas.microsoft.com/office/word/2010/wordprocessingShape">
                    <wps:wsp>
                      <wps:cNvSpPr/>
                      <wps:spPr>
                        <a:xfrm rot="10800000">
                          <a:off x="0" y="0"/>
                          <a:ext cx="6867591" cy="587375"/>
                        </a:xfrm>
                        <a:custGeom>
                          <a:avLst/>
                          <a:gdLst>
                            <a:gd name="connsiteX0" fmla="*/ 0 w 2908300"/>
                            <a:gd name="connsiteY0" fmla="*/ 0 h 143510"/>
                            <a:gd name="connsiteX1" fmla="*/ 2908300 w 2908300"/>
                            <a:gd name="connsiteY1" fmla="*/ 0 h 143510"/>
                            <a:gd name="connsiteX2" fmla="*/ 2908300 w 2908300"/>
                            <a:gd name="connsiteY2" fmla="*/ 143510 h 143510"/>
                            <a:gd name="connsiteX3" fmla="*/ 0 w 2908300"/>
                            <a:gd name="connsiteY3" fmla="*/ 143510 h 143510"/>
                            <a:gd name="connsiteX4" fmla="*/ 0 w 2908300"/>
                            <a:gd name="connsiteY4" fmla="*/ 0 h 143510"/>
                            <a:gd name="connsiteX0" fmla="*/ 244800 w 3153100"/>
                            <a:gd name="connsiteY0" fmla="*/ 0 h 143510"/>
                            <a:gd name="connsiteX1" fmla="*/ 3153100 w 3153100"/>
                            <a:gd name="connsiteY1" fmla="*/ 0 h 143510"/>
                            <a:gd name="connsiteX2" fmla="*/ 3153100 w 3153100"/>
                            <a:gd name="connsiteY2" fmla="*/ 143510 h 143510"/>
                            <a:gd name="connsiteX3" fmla="*/ 0 w 3153100"/>
                            <a:gd name="connsiteY3" fmla="*/ 143510 h 143510"/>
                            <a:gd name="connsiteX4" fmla="*/ 244800 w 3153100"/>
                            <a:gd name="connsiteY4" fmla="*/ 0 h 143510"/>
                            <a:gd name="connsiteX0" fmla="*/ 256799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56799 w 3165099"/>
                            <a:gd name="connsiteY4" fmla="*/ 0 h 143510"/>
                            <a:gd name="connsiteX0" fmla="*/ 283196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83196 w 3165099"/>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65099" h="143510">
                              <a:moveTo>
                                <a:pt x="283196" y="0"/>
                              </a:moveTo>
                              <a:lnTo>
                                <a:pt x="3165099" y="0"/>
                              </a:lnTo>
                              <a:lnTo>
                                <a:pt x="3165099" y="143510"/>
                              </a:lnTo>
                              <a:lnTo>
                                <a:pt x="0" y="143510"/>
                              </a:lnTo>
                              <a:lnTo>
                                <a:pt x="283196" y="0"/>
                              </a:lnTo>
                              <a:close/>
                            </a:path>
                          </a:pathLst>
                        </a:custGeom>
                        <a:gradFill flip="none" rotWithShape="1">
                          <a:gsLst>
                            <a:gs pos="0">
                              <a:schemeClr val="tx1">
                                <a:lumMod val="99000"/>
                              </a:schemeClr>
                            </a:gs>
                            <a:gs pos="100000">
                              <a:srgbClr val="F6E6E6"/>
                            </a:gs>
                            <a:gs pos="66000">
                              <a:srgbClr val="C35855"/>
                            </a:gs>
                            <a:gs pos="32000">
                              <a:srgbClr val="632523"/>
                            </a:gs>
                          </a:gsLst>
                          <a:lin ang="10800000" scaled="1"/>
                          <a:tileRect/>
                        </a:gra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ADE8E94" id="Rectángulo 15" o:spid="_x0000_s1026" style="position:absolute;margin-left:-135.95pt;margin-top:622.75pt;width:540.75pt;height:46.25pt;rotation:180;z-index:251746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165099,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" path="m283196,l3165099,r,143510l,143510,283196,xe" fillcolor="black [3181]" strokecolor="white [3212]" strokeweight="1pt">
                <v:fill color2="#f6e6e6" rotate="t" angle="270" colors="0 black;20972f #632523;43254f #c35855;1 #f6e6e6" focus="100%" type="gradient"/>
                <v:path arrowok="t" o:connecttype="custom" o:connectlocs="614475,0;6867591,0;6867591,587375;0,587375;614475,0" o:connectangles="0,0,0,0,0"/>
              </v:shape>
            </w:pict>
          </mc:Fallback>
        </mc:AlternateContent>
      </w:r>
      <w:r w:rsidR="00351D39" w:rsidRPr="002150BE">
        <w:rPr>
          <w:rFonts w:asciiTheme="minorHAnsi" w:eastAsiaTheme="majorEastAsia" w:hAnsiTheme="minorHAnsi" w:cstheme="minorHAnsi"/>
          <w:b/>
          <w:bCs/>
          <w:smallCaps/>
          <w:color w:val="651D32"/>
          <w:sz w:val="32"/>
          <w:szCs w:val="32"/>
          <w:lang w:eastAsia="es-MX"/>
        </w:rPr>
        <w:br w:type="page"/>
      </w:r>
    </w:p>
    <w:bookmarkEnd w:id="0"/>
    <w:p w14:paraId="40D10520" w14:textId="77777777" w:rsidR="00DE60A6" w:rsidRPr="002150BE" w:rsidRDefault="0014229D" w:rsidP="0014229D">
      <w:pPr>
        <w:pStyle w:val="TtuloTDC"/>
        <w:spacing w:before="0"/>
        <w:jc w:val="center"/>
        <w:rPr>
          <w:rFonts w:asciiTheme="minorHAnsi" w:hAnsiTheme="minorHAnsi" w:cstheme="minorHAnsi"/>
          <w:szCs w:val="32"/>
        </w:rPr>
      </w:pPr>
      <w:r w:rsidRPr="002150BE">
        <w:rPr>
          <w:rFonts w:asciiTheme="minorHAnsi" w:hAnsiTheme="minorHAnsi" w:cstheme="minorHAnsi"/>
          <w:szCs w:val="32"/>
        </w:rPr>
        <w:lastRenderedPageBreak/>
        <w:t>Contenido</w:t>
      </w:r>
    </w:p>
    <w:bookmarkStart w:id="1" w:name="_Toc85744596"/>
    <w:bookmarkStart w:id="2" w:name="_Toc85744643"/>
    <w:bookmarkStart w:id="3" w:name="_Toc85744959"/>
    <w:bookmarkStart w:id="4" w:name="_Toc85718802"/>
    <w:bookmarkStart w:id="5" w:name="_Toc85718835"/>
    <w:bookmarkStart w:id="6" w:name="_Toc85719130"/>
    <w:bookmarkStart w:id="7" w:name="_Toc85798212"/>
    <w:bookmarkStart w:id="8" w:name="_Toc85798261"/>
    <w:bookmarkStart w:id="9" w:name="_Toc85799175"/>
    <w:bookmarkStart w:id="10" w:name="_Toc85801012"/>
    <w:bookmarkStart w:id="11" w:name="_Toc86164278"/>
    <w:bookmarkStart w:id="12" w:name="_Toc86164899"/>
    <w:bookmarkStart w:id="13" w:name="_Toc86169285"/>
    <w:bookmarkStart w:id="14" w:name="_Toc86311648"/>
    <w:bookmarkStart w:id="15" w:name="_Toc85545392"/>
    <w:bookmarkStart w:id="16" w:name="_Toc85545439"/>
    <w:bookmarkStart w:id="17" w:name="_Toc85630261"/>
    <w:bookmarkStart w:id="18" w:name="_Toc85630291"/>
    <w:bookmarkStart w:id="19" w:name="_Toc85707979"/>
    <w:bookmarkStart w:id="20" w:name="_Toc85708355"/>
    <w:bookmarkStart w:id="21" w:name="_Toc85711229"/>
    <w:bookmarkStart w:id="22" w:name="_Toc85630281"/>
    <w:bookmarkStart w:id="23" w:name="_Toc85630330"/>
    <w:bookmarkStart w:id="24" w:name="_Toc85708020"/>
    <w:bookmarkStart w:id="25" w:name="_Toc85708395"/>
    <w:bookmarkStart w:id="26" w:name="_Toc85711269"/>
    <w:p w14:paraId="476C230E" w14:textId="427911C4" w:rsidR="00C25B29" w:rsidRDefault="00FC3810">
      <w:pPr>
        <w:pStyle w:val="TDC1"/>
        <w:tabs>
          <w:tab w:val="right" w:leader="dot" w:pos="8828"/>
        </w:tabs>
        <w:rPr>
          <w:rFonts w:eastAsiaTheme="minorEastAsia" w:cstheme="minorBidi"/>
          <w:b w:val="0"/>
          <w:bCs w:val="0"/>
          <w:caps w:val="0"/>
          <w:noProof/>
          <w:kern w:val="2"/>
          <w:sz w:val="24"/>
          <w:szCs w:val="24"/>
          <w:lang w:val="es-ES" w:eastAsia="es-ES"/>
          <w14:ligatures w14:val="standardContextual"/>
        </w:rPr>
      </w:pPr>
      <w:r w:rsidRPr="002150BE">
        <w:rPr>
          <w:b w:val="0"/>
          <w:bCs w:val="0"/>
          <w:caps w:val="0"/>
          <w:lang w:eastAsia="es-MX"/>
        </w:rPr>
        <w:fldChar w:fldCharType="begin"/>
      </w:r>
      <w:r w:rsidRPr="002150BE">
        <w:rPr>
          <w:b w:val="0"/>
          <w:bCs w:val="0"/>
          <w:caps w:val="0"/>
          <w:lang w:eastAsia="es-MX"/>
        </w:rPr>
        <w:instrText xml:space="preserve"> TOC \o "1-3" \h \z \u </w:instrText>
      </w:r>
      <w:r w:rsidRPr="002150BE">
        <w:rPr>
          <w:b w:val="0"/>
          <w:bCs w:val="0"/>
          <w:caps w:val="0"/>
          <w:lang w:eastAsia="es-MX"/>
        </w:rPr>
        <w:fldChar w:fldCharType="separate"/>
      </w:r>
      <w:hyperlink w:anchor="_Toc227668595" w:history="1">
        <w:r w:rsidR="00C25B29" w:rsidRPr="007166DB">
          <w:rPr>
            <w:rStyle w:val="Hipervnculo"/>
            <w:noProof/>
          </w:rPr>
          <w:t>Introducción</w:t>
        </w:r>
        <w:r w:rsidR="00C25B29">
          <w:rPr>
            <w:noProof/>
            <w:webHidden/>
          </w:rPr>
          <w:tab/>
        </w:r>
        <w:r w:rsidR="00C25B29">
          <w:rPr>
            <w:noProof/>
            <w:webHidden/>
          </w:rPr>
          <w:fldChar w:fldCharType="begin"/>
        </w:r>
        <w:r w:rsidR="00C25B29">
          <w:rPr>
            <w:noProof/>
            <w:webHidden/>
          </w:rPr>
          <w:instrText xml:space="preserve"> PAGEREF _Toc227668595 \h </w:instrText>
        </w:r>
        <w:r w:rsidR="00C25B29">
          <w:rPr>
            <w:noProof/>
            <w:webHidden/>
          </w:rPr>
        </w:r>
        <w:r w:rsidR="00C25B29">
          <w:rPr>
            <w:noProof/>
            <w:webHidden/>
          </w:rPr>
          <w:fldChar w:fldCharType="separate"/>
        </w:r>
        <w:r w:rsidR="00B35996">
          <w:rPr>
            <w:noProof/>
            <w:webHidden/>
          </w:rPr>
          <w:t>2</w:t>
        </w:r>
        <w:r w:rsidR="00C25B29">
          <w:rPr>
            <w:noProof/>
            <w:webHidden/>
          </w:rPr>
          <w:fldChar w:fldCharType="end"/>
        </w:r>
      </w:hyperlink>
    </w:p>
    <w:p w14:paraId="1A89B7A4" w14:textId="0CA07629" w:rsidR="00C25B29" w:rsidRDefault="00C25B29">
      <w:pPr>
        <w:pStyle w:val="TDC1"/>
        <w:tabs>
          <w:tab w:val="left" w:pos="400"/>
          <w:tab w:val="right" w:leader="dot" w:pos="8828"/>
        </w:tabs>
        <w:rPr>
          <w:rFonts w:eastAsiaTheme="minorEastAsia" w:cstheme="minorBidi"/>
          <w:b w:val="0"/>
          <w:bCs w:val="0"/>
          <w:caps w:val="0"/>
          <w:noProof/>
          <w:kern w:val="2"/>
          <w:sz w:val="24"/>
          <w:szCs w:val="24"/>
          <w:lang w:val="es-ES" w:eastAsia="es-ES"/>
          <w14:ligatures w14:val="standardContextual"/>
        </w:rPr>
      </w:pPr>
      <w:hyperlink w:anchor="_Toc227668596" w:history="1">
        <w:r w:rsidRPr="007166DB">
          <w:rPr>
            <w:rStyle w:val="Hipervnculo"/>
            <w:rFonts w:cs="Times New Roman"/>
            <w:noProof/>
          </w:rPr>
          <w:t>I.</w:t>
        </w:r>
        <w:r>
          <w:rPr>
            <w:rFonts w:eastAsiaTheme="minorEastAsia" w:cstheme="minorBidi"/>
            <w:b w:val="0"/>
            <w:bCs w:val="0"/>
            <w:caps w:val="0"/>
            <w:noProof/>
            <w:kern w:val="2"/>
            <w:sz w:val="24"/>
            <w:szCs w:val="24"/>
            <w:lang w:val="es-ES" w:eastAsia="es-ES"/>
            <w14:ligatures w14:val="standardContextual"/>
          </w:rPr>
          <w:tab/>
        </w:r>
        <w:r w:rsidRPr="007166DB">
          <w:rPr>
            <w:rStyle w:val="Hipervnculo"/>
            <w:rFonts w:cs="Times New Roman"/>
            <w:noProof/>
          </w:rPr>
          <w:t>Objetivos de la Evaluación</w:t>
        </w:r>
        <w:r>
          <w:rPr>
            <w:noProof/>
            <w:webHidden/>
          </w:rPr>
          <w:tab/>
        </w:r>
        <w:r>
          <w:rPr>
            <w:noProof/>
            <w:webHidden/>
          </w:rPr>
          <w:fldChar w:fldCharType="begin"/>
        </w:r>
        <w:r>
          <w:rPr>
            <w:noProof/>
            <w:webHidden/>
          </w:rPr>
          <w:instrText xml:space="preserve"> PAGEREF _Toc227668596 \h </w:instrText>
        </w:r>
        <w:r>
          <w:rPr>
            <w:noProof/>
            <w:webHidden/>
          </w:rPr>
        </w:r>
        <w:r>
          <w:rPr>
            <w:noProof/>
            <w:webHidden/>
          </w:rPr>
          <w:fldChar w:fldCharType="separate"/>
        </w:r>
        <w:r w:rsidR="00B35996">
          <w:rPr>
            <w:noProof/>
            <w:webHidden/>
          </w:rPr>
          <w:t>3</w:t>
        </w:r>
        <w:r>
          <w:rPr>
            <w:noProof/>
            <w:webHidden/>
          </w:rPr>
          <w:fldChar w:fldCharType="end"/>
        </w:r>
      </w:hyperlink>
    </w:p>
    <w:p w14:paraId="3056C31B" w14:textId="2BA1E3B5" w:rsidR="00C25B29" w:rsidRDefault="00C25B29">
      <w:pPr>
        <w:pStyle w:val="TDC2"/>
        <w:tabs>
          <w:tab w:val="right" w:leader="dot" w:pos="8828"/>
        </w:tabs>
        <w:rPr>
          <w:rFonts w:eastAsiaTheme="minorEastAsia" w:cstheme="minorBidi"/>
          <w:smallCaps w:val="0"/>
          <w:noProof/>
          <w:kern w:val="2"/>
          <w:sz w:val="24"/>
          <w:szCs w:val="24"/>
          <w:lang w:val="es-ES" w:eastAsia="es-ES"/>
          <w14:ligatures w14:val="standardContextual"/>
        </w:rPr>
      </w:pPr>
      <w:hyperlink w:anchor="_Toc227668597" w:history="1">
        <w:r w:rsidRPr="007166DB">
          <w:rPr>
            <w:rStyle w:val="Hipervnculo"/>
            <w:noProof/>
          </w:rPr>
          <w:t>Objetivo General</w:t>
        </w:r>
        <w:r>
          <w:rPr>
            <w:noProof/>
            <w:webHidden/>
          </w:rPr>
          <w:tab/>
        </w:r>
        <w:r>
          <w:rPr>
            <w:noProof/>
            <w:webHidden/>
          </w:rPr>
          <w:fldChar w:fldCharType="begin"/>
        </w:r>
        <w:r>
          <w:rPr>
            <w:noProof/>
            <w:webHidden/>
          </w:rPr>
          <w:instrText xml:space="preserve"> PAGEREF _Toc227668597 \h </w:instrText>
        </w:r>
        <w:r>
          <w:rPr>
            <w:noProof/>
            <w:webHidden/>
          </w:rPr>
        </w:r>
        <w:r>
          <w:rPr>
            <w:noProof/>
            <w:webHidden/>
          </w:rPr>
          <w:fldChar w:fldCharType="separate"/>
        </w:r>
        <w:r w:rsidR="00B35996">
          <w:rPr>
            <w:noProof/>
            <w:webHidden/>
          </w:rPr>
          <w:t>3</w:t>
        </w:r>
        <w:r>
          <w:rPr>
            <w:noProof/>
            <w:webHidden/>
          </w:rPr>
          <w:fldChar w:fldCharType="end"/>
        </w:r>
      </w:hyperlink>
    </w:p>
    <w:p w14:paraId="0B87A2F3" w14:textId="07AB29EE" w:rsidR="00C25B29" w:rsidRDefault="00C25B29">
      <w:pPr>
        <w:pStyle w:val="TDC2"/>
        <w:tabs>
          <w:tab w:val="right" w:leader="dot" w:pos="8828"/>
        </w:tabs>
        <w:rPr>
          <w:rFonts w:eastAsiaTheme="minorEastAsia" w:cstheme="minorBidi"/>
          <w:smallCaps w:val="0"/>
          <w:noProof/>
          <w:kern w:val="2"/>
          <w:sz w:val="24"/>
          <w:szCs w:val="24"/>
          <w:lang w:val="es-ES" w:eastAsia="es-ES"/>
          <w14:ligatures w14:val="standardContextual"/>
        </w:rPr>
      </w:pPr>
      <w:hyperlink w:anchor="_Toc227668598" w:history="1">
        <w:r w:rsidRPr="007166DB">
          <w:rPr>
            <w:rStyle w:val="Hipervnculo"/>
            <w:noProof/>
          </w:rPr>
          <w:t>Objetivo Específicos</w:t>
        </w:r>
        <w:r>
          <w:rPr>
            <w:noProof/>
            <w:webHidden/>
          </w:rPr>
          <w:tab/>
        </w:r>
        <w:r>
          <w:rPr>
            <w:noProof/>
            <w:webHidden/>
          </w:rPr>
          <w:fldChar w:fldCharType="begin"/>
        </w:r>
        <w:r>
          <w:rPr>
            <w:noProof/>
            <w:webHidden/>
          </w:rPr>
          <w:instrText xml:space="preserve"> PAGEREF _Toc227668598 \h </w:instrText>
        </w:r>
        <w:r>
          <w:rPr>
            <w:noProof/>
            <w:webHidden/>
          </w:rPr>
        </w:r>
        <w:r>
          <w:rPr>
            <w:noProof/>
            <w:webHidden/>
          </w:rPr>
          <w:fldChar w:fldCharType="separate"/>
        </w:r>
        <w:r w:rsidR="00B35996">
          <w:rPr>
            <w:noProof/>
            <w:webHidden/>
          </w:rPr>
          <w:t>3</w:t>
        </w:r>
        <w:r>
          <w:rPr>
            <w:noProof/>
            <w:webHidden/>
          </w:rPr>
          <w:fldChar w:fldCharType="end"/>
        </w:r>
      </w:hyperlink>
    </w:p>
    <w:p w14:paraId="6D830A55" w14:textId="214A591B" w:rsidR="00C25B29" w:rsidRDefault="00C25B29">
      <w:pPr>
        <w:pStyle w:val="TDC1"/>
        <w:tabs>
          <w:tab w:val="left" w:pos="800"/>
          <w:tab w:val="right" w:leader="dot" w:pos="8828"/>
        </w:tabs>
        <w:rPr>
          <w:rFonts w:eastAsiaTheme="minorEastAsia" w:cstheme="minorBidi"/>
          <w:b w:val="0"/>
          <w:bCs w:val="0"/>
          <w:caps w:val="0"/>
          <w:noProof/>
          <w:kern w:val="2"/>
          <w:sz w:val="24"/>
          <w:szCs w:val="24"/>
          <w:lang w:val="es-ES" w:eastAsia="es-ES"/>
          <w14:ligatures w14:val="standardContextual"/>
        </w:rPr>
      </w:pPr>
      <w:hyperlink w:anchor="_Toc227668599" w:history="1">
        <w:r w:rsidRPr="007166DB">
          <w:rPr>
            <w:rStyle w:val="Hipervnculo"/>
            <w:rFonts w:cs="Times New Roman"/>
            <w:noProof/>
          </w:rPr>
          <w:t>II.</w:t>
        </w:r>
        <w:r>
          <w:rPr>
            <w:rFonts w:eastAsiaTheme="minorEastAsia" w:cstheme="minorBidi"/>
            <w:b w:val="0"/>
            <w:bCs w:val="0"/>
            <w:caps w:val="0"/>
            <w:noProof/>
            <w:kern w:val="2"/>
            <w:sz w:val="24"/>
            <w:szCs w:val="24"/>
            <w:lang w:val="es-ES" w:eastAsia="es-ES"/>
            <w14:ligatures w14:val="standardContextual"/>
          </w:rPr>
          <w:tab/>
        </w:r>
        <w:r w:rsidRPr="007166DB">
          <w:rPr>
            <w:rStyle w:val="Hipervnculo"/>
            <w:rFonts w:cs="Times New Roman"/>
            <w:noProof/>
          </w:rPr>
          <w:t>Contenido de la Evaluación</w:t>
        </w:r>
        <w:r>
          <w:rPr>
            <w:noProof/>
            <w:webHidden/>
          </w:rPr>
          <w:tab/>
        </w:r>
        <w:r>
          <w:rPr>
            <w:noProof/>
            <w:webHidden/>
          </w:rPr>
          <w:fldChar w:fldCharType="begin"/>
        </w:r>
        <w:r>
          <w:rPr>
            <w:noProof/>
            <w:webHidden/>
          </w:rPr>
          <w:instrText xml:space="preserve"> PAGEREF _Toc227668599 \h </w:instrText>
        </w:r>
        <w:r>
          <w:rPr>
            <w:noProof/>
            <w:webHidden/>
          </w:rPr>
        </w:r>
        <w:r>
          <w:rPr>
            <w:noProof/>
            <w:webHidden/>
          </w:rPr>
          <w:fldChar w:fldCharType="separate"/>
        </w:r>
        <w:r w:rsidR="00B35996">
          <w:rPr>
            <w:noProof/>
            <w:webHidden/>
          </w:rPr>
          <w:t>3</w:t>
        </w:r>
        <w:r>
          <w:rPr>
            <w:noProof/>
            <w:webHidden/>
          </w:rPr>
          <w:fldChar w:fldCharType="end"/>
        </w:r>
      </w:hyperlink>
    </w:p>
    <w:p w14:paraId="573058B6" w14:textId="5D482769" w:rsidR="00C25B29" w:rsidRDefault="00C25B29">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27668600" w:history="1">
        <w:r w:rsidRPr="007166DB">
          <w:rPr>
            <w:rStyle w:val="Hipervnculo"/>
            <w:rFonts w:cs="Arial"/>
            <w:noProof/>
            <w:lang w:val="es-ES"/>
          </w:rPr>
          <w:t>Sección I. Características generales del Programa presupuestario</w:t>
        </w:r>
        <w:r>
          <w:rPr>
            <w:noProof/>
            <w:webHidden/>
          </w:rPr>
          <w:tab/>
        </w:r>
        <w:r>
          <w:rPr>
            <w:noProof/>
            <w:webHidden/>
          </w:rPr>
          <w:fldChar w:fldCharType="begin"/>
        </w:r>
        <w:r>
          <w:rPr>
            <w:noProof/>
            <w:webHidden/>
          </w:rPr>
          <w:instrText xml:space="preserve"> PAGEREF _Toc227668600 \h </w:instrText>
        </w:r>
        <w:r>
          <w:rPr>
            <w:noProof/>
            <w:webHidden/>
          </w:rPr>
        </w:r>
        <w:r>
          <w:rPr>
            <w:noProof/>
            <w:webHidden/>
          </w:rPr>
          <w:fldChar w:fldCharType="separate"/>
        </w:r>
        <w:r w:rsidR="00B35996">
          <w:rPr>
            <w:noProof/>
            <w:webHidden/>
          </w:rPr>
          <w:t>3</w:t>
        </w:r>
        <w:r>
          <w:rPr>
            <w:noProof/>
            <w:webHidden/>
          </w:rPr>
          <w:fldChar w:fldCharType="end"/>
        </w:r>
      </w:hyperlink>
    </w:p>
    <w:p w14:paraId="74C82571" w14:textId="50913949" w:rsidR="00C25B29" w:rsidRDefault="00C25B29">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27668601" w:history="1">
        <w:r w:rsidRPr="007166DB">
          <w:rPr>
            <w:rStyle w:val="Hipervnculo"/>
            <w:rFonts w:cs="Arial"/>
            <w:noProof/>
            <w:lang w:val="es-ES"/>
          </w:rPr>
          <w:t>Sección II. Problema o necesidad pública</w:t>
        </w:r>
        <w:r>
          <w:rPr>
            <w:noProof/>
            <w:webHidden/>
          </w:rPr>
          <w:tab/>
        </w:r>
        <w:r>
          <w:rPr>
            <w:noProof/>
            <w:webHidden/>
          </w:rPr>
          <w:fldChar w:fldCharType="begin"/>
        </w:r>
        <w:r>
          <w:rPr>
            <w:noProof/>
            <w:webHidden/>
          </w:rPr>
          <w:instrText xml:space="preserve"> PAGEREF _Toc227668601 \h </w:instrText>
        </w:r>
        <w:r>
          <w:rPr>
            <w:noProof/>
            <w:webHidden/>
          </w:rPr>
        </w:r>
        <w:r>
          <w:rPr>
            <w:noProof/>
            <w:webHidden/>
          </w:rPr>
          <w:fldChar w:fldCharType="separate"/>
        </w:r>
        <w:r w:rsidR="00B35996">
          <w:rPr>
            <w:noProof/>
            <w:webHidden/>
          </w:rPr>
          <w:t>11</w:t>
        </w:r>
        <w:r>
          <w:rPr>
            <w:noProof/>
            <w:webHidden/>
          </w:rPr>
          <w:fldChar w:fldCharType="end"/>
        </w:r>
      </w:hyperlink>
    </w:p>
    <w:p w14:paraId="3D514C66" w14:textId="79998C51" w:rsidR="00C25B29" w:rsidRDefault="00C25B29">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27668602" w:history="1">
        <w:r w:rsidRPr="007166DB">
          <w:rPr>
            <w:rStyle w:val="Hipervnculo"/>
            <w:rFonts w:cs="Arial"/>
            <w:noProof/>
            <w:lang w:val="es-ES"/>
          </w:rPr>
          <w:t>Sección III. Diseño de la propuesta de atención</w:t>
        </w:r>
        <w:r>
          <w:rPr>
            <w:noProof/>
            <w:webHidden/>
          </w:rPr>
          <w:tab/>
        </w:r>
        <w:r>
          <w:rPr>
            <w:noProof/>
            <w:webHidden/>
          </w:rPr>
          <w:fldChar w:fldCharType="begin"/>
        </w:r>
        <w:r>
          <w:rPr>
            <w:noProof/>
            <w:webHidden/>
          </w:rPr>
          <w:instrText xml:space="preserve"> PAGEREF _Toc227668602 \h </w:instrText>
        </w:r>
        <w:r>
          <w:rPr>
            <w:noProof/>
            <w:webHidden/>
          </w:rPr>
        </w:r>
        <w:r>
          <w:rPr>
            <w:noProof/>
            <w:webHidden/>
          </w:rPr>
          <w:fldChar w:fldCharType="separate"/>
        </w:r>
        <w:r w:rsidR="00B35996">
          <w:rPr>
            <w:noProof/>
            <w:webHidden/>
          </w:rPr>
          <w:t>14</w:t>
        </w:r>
        <w:r>
          <w:rPr>
            <w:noProof/>
            <w:webHidden/>
          </w:rPr>
          <w:fldChar w:fldCharType="end"/>
        </w:r>
      </w:hyperlink>
    </w:p>
    <w:p w14:paraId="72ECB1B4" w14:textId="7744222A" w:rsidR="00C25B29" w:rsidRDefault="00C25B29">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27668603" w:history="1">
        <w:r w:rsidRPr="007166DB">
          <w:rPr>
            <w:rStyle w:val="Hipervnculo"/>
            <w:rFonts w:cs="Arial"/>
            <w:noProof/>
            <w:lang w:val="es-ES"/>
          </w:rPr>
          <w:t>Sección IV. Diseño operativo</w:t>
        </w:r>
        <w:r>
          <w:rPr>
            <w:noProof/>
            <w:webHidden/>
          </w:rPr>
          <w:tab/>
        </w:r>
        <w:r>
          <w:rPr>
            <w:noProof/>
            <w:webHidden/>
          </w:rPr>
          <w:fldChar w:fldCharType="begin"/>
        </w:r>
        <w:r>
          <w:rPr>
            <w:noProof/>
            <w:webHidden/>
          </w:rPr>
          <w:instrText xml:space="preserve"> PAGEREF _Toc227668603 \h </w:instrText>
        </w:r>
        <w:r>
          <w:rPr>
            <w:noProof/>
            <w:webHidden/>
          </w:rPr>
        </w:r>
        <w:r>
          <w:rPr>
            <w:noProof/>
            <w:webHidden/>
          </w:rPr>
          <w:fldChar w:fldCharType="separate"/>
        </w:r>
        <w:r w:rsidR="00B35996">
          <w:rPr>
            <w:noProof/>
            <w:webHidden/>
          </w:rPr>
          <w:t>20</w:t>
        </w:r>
        <w:r>
          <w:rPr>
            <w:noProof/>
            <w:webHidden/>
          </w:rPr>
          <w:fldChar w:fldCharType="end"/>
        </w:r>
      </w:hyperlink>
    </w:p>
    <w:p w14:paraId="7D6A3F9F" w14:textId="1D5A1783" w:rsidR="00C25B29" w:rsidRDefault="00C25B29">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27668604" w:history="1">
        <w:r w:rsidRPr="007166DB">
          <w:rPr>
            <w:rStyle w:val="Hipervnculo"/>
            <w:rFonts w:cs="Arial"/>
            <w:noProof/>
            <w:lang w:val="es-ES"/>
          </w:rPr>
          <w:t>Sección V. Consistencia programática y normativa</w:t>
        </w:r>
        <w:r>
          <w:rPr>
            <w:noProof/>
            <w:webHidden/>
          </w:rPr>
          <w:tab/>
        </w:r>
        <w:r>
          <w:rPr>
            <w:noProof/>
            <w:webHidden/>
          </w:rPr>
          <w:fldChar w:fldCharType="begin"/>
        </w:r>
        <w:r>
          <w:rPr>
            <w:noProof/>
            <w:webHidden/>
          </w:rPr>
          <w:instrText xml:space="preserve"> PAGEREF _Toc227668604 \h </w:instrText>
        </w:r>
        <w:r>
          <w:rPr>
            <w:noProof/>
            <w:webHidden/>
          </w:rPr>
        </w:r>
        <w:r>
          <w:rPr>
            <w:noProof/>
            <w:webHidden/>
          </w:rPr>
          <w:fldChar w:fldCharType="separate"/>
        </w:r>
        <w:r w:rsidR="00B35996">
          <w:rPr>
            <w:noProof/>
            <w:webHidden/>
          </w:rPr>
          <w:t>32</w:t>
        </w:r>
        <w:r>
          <w:rPr>
            <w:noProof/>
            <w:webHidden/>
          </w:rPr>
          <w:fldChar w:fldCharType="end"/>
        </w:r>
      </w:hyperlink>
    </w:p>
    <w:p w14:paraId="7017B311" w14:textId="7B34618F" w:rsidR="00C25B29" w:rsidRDefault="00C25B29">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27668605" w:history="1">
        <w:r w:rsidRPr="007166DB">
          <w:rPr>
            <w:rStyle w:val="Hipervnculo"/>
            <w:rFonts w:cs="Arial"/>
            <w:noProof/>
            <w:lang w:val="es-ES"/>
          </w:rPr>
          <w:t>Sección VI. Contribución a objetivos de la planeación estatal</w:t>
        </w:r>
        <w:r>
          <w:rPr>
            <w:noProof/>
            <w:webHidden/>
          </w:rPr>
          <w:tab/>
        </w:r>
        <w:r>
          <w:rPr>
            <w:noProof/>
            <w:webHidden/>
          </w:rPr>
          <w:fldChar w:fldCharType="begin"/>
        </w:r>
        <w:r>
          <w:rPr>
            <w:noProof/>
            <w:webHidden/>
          </w:rPr>
          <w:instrText xml:space="preserve"> PAGEREF _Toc227668605 \h </w:instrText>
        </w:r>
        <w:r>
          <w:rPr>
            <w:noProof/>
            <w:webHidden/>
          </w:rPr>
        </w:r>
        <w:r>
          <w:rPr>
            <w:noProof/>
            <w:webHidden/>
          </w:rPr>
          <w:fldChar w:fldCharType="separate"/>
        </w:r>
        <w:r w:rsidR="00B35996">
          <w:rPr>
            <w:noProof/>
            <w:webHidden/>
          </w:rPr>
          <w:t>34</w:t>
        </w:r>
        <w:r>
          <w:rPr>
            <w:noProof/>
            <w:webHidden/>
          </w:rPr>
          <w:fldChar w:fldCharType="end"/>
        </w:r>
      </w:hyperlink>
    </w:p>
    <w:p w14:paraId="583D7A33" w14:textId="5866B732" w:rsidR="00C25B29" w:rsidRDefault="00C25B29">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27668606" w:history="1">
        <w:r w:rsidRPr="007166DB">
          <w:rPr>
            <w:rStyle w:val="Hipervnculo"/>
            <w:rFonts w:cs="Arial"/>
            <w:noProof/>
            <w:lang w:val="es-ES"/>
          </w:rPr>
          <w:t>Sección VII. Instrumento de Seguimiento del Desempeño (ISD)</w:t>
        </w:r>
        <w:r>
          <w:rPr>
            <w:noProof/>
            <w:webHidden/>
          </w:rPr>
          <w:tab/>
        </w:r>
        <w:r>
          <w:rPr>
            <w:noProof/>
            <w:webHidden/>
          </w:rPr>
          <w:fldChar w:fldCharType="begin"/>
        </w:r>
        <w:r>
          <w:rPr>
            <w:noProof/>
            <w:webHidden/>
          </w:rPr>
          <w:instrText xml:space="preserve"> PAGEREF _Toc227668606 \h </w:instrText>
        </w:r>
        <w:r>
          <w:rPr>
            <w:noProof/>
            <w:webHidden/>
          </w:rPr>
        </w:r>
        <w:r>
          <w:rPr>
            <w:noProof/>
            <w:webHidden/>
          </w:rPr>
          <w:fldChar w:fldCharType="separate"/>
        </w:r>
        <w:r w:rsidR="00B35996">
          <w:rPr>
            <w:noProof/>
            <w:webHidden/>
          </w:rPr>
          <w:t>38</w:t>
        </w:r>
        <w:r>
          <w:rPr>
            <w:noProof/>
            <w:webHidden/>
          </w:rPr>
          <w:fldChar w:fldCharType="end"/>
        </w:r>
      </w:hyperlink>
    </w:p>
    <w:p w14:paraId="4985ED70" w14:textId="3CC044DB" w:rsidR="00C25B29" w:rsidRDefault="00C25B29">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27668607" w:history="1">
        <w:r w:rsidRPr="007166DB">
          <w:rPr>
            <w:rStyle w:val="Hipervnculo"/>
            <w:rFonts w:cs="Arial"/>
            <w:noProof/>
            <w:lang w:val="es-ES"/>
          </w:rPr>
          <w:t>Sección VIII. Valoración final del diseño del Pp</w:t>
        </w:r>
        <w:r>
          <w:rPr>
            <w:noProof/>
            <w:webHidden/>
          </w:rPr>
          <w:tab/>
        </w:r>
        <w:r>
          <w:rPr>
            <w:noProof/>
            <w:webHidden/>
          </w:rPr>
          <w:fldChar w:fldCharType="begin"/>
        </w:r>
        <w:r>
          <w:rPr>
            <w:noProof/>
            <w:webHidden/>
          </w:rPr>
          <w:instrText xml:space="preserve"> PAGEREF _Toc227668607 \h </w:instrText>
        </w:r>
        <w:r>
          <w:rPr>
            <w:noProof/>
            <w:webHidden/>
          </w:rPr>
        </w:r>
        <w:r>
          <w:rPr>
            <w:noProof/>
            <w:webHidden/>
          </w:rPr>
          <w:fldChar w:fldCharType="separate"/>
        </w:r>
        <w:r w:rsidR="00B35996">
          <w:rPr>
            <w:noProof/>
            <w:webHidden/>
          </w:rPr>
          <w:t>43</w:t>
        </w:r>
        <w:r>
          <w:rPr>
            <w:noProof/>
            <w:webHidden/>
          </w:rPr>
          <w:fldChar w:fldCharType="end"/>
        </w:r>
      </w:hyperlink>
    </w:p>
    <w:p w14:paraId="31F2C5A5" w14:textId="223BE95E" w:rsidR="00C25B29" w:rsidRDefault="00C25B29">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27668608" w:history="1">
        <w:r w:rsidRPr="007166DB">
          <w:rPr>
            <w:rStyle w:val="Hipervnculo"/>
            <w:rFonts w:cs="Arial"/>
            <w:noProof/>
          </w:rPr>
          <w:t>Sección IX. Análisis FODA</w:t>
        </w:r>
        <w:r>
          <w:rPr>
            <w:noProof/>
            <w:webHidden/>
          </w:rPr>
          <w:tab/>
        </w:r>
        <w:r>
          <w:rPr>
            <w:noProof/>
            <w:webHidden/>
          </w:rPr>
          <w:fldChar w:fldCharType="begin"/>
        </w:r>
        <w:r>
          <w:rPr>
            <w:noProof/>
            <w:webHidden/>
          </w:rPr>
          <w:instrText xml:space="preserve"> PAGEREF _Toc227668608 \h </w:instrText>
        </w:r>
        <w:r>
          <w:rPr>
            <w:noProof/>
            <w:webHidden/>
          </w:rPr>
        </w:r>
        <w:r>
          <w:rPr>
            <w:noProof/>
            <w:webHidden/>
          </w:rPr>
          <w:fldChar w:fldCharType="separate"/>
        </w:r>
        <w:r w:rsidR="00B35996">
          <w:rPr>
            <w:noProof/>
            <w:webHidden/>
          </w:rPr>
          <w:t>44</w:t>
        </w:r>
        <w:r>
          <w:rPr>
            <w:noProof/>
            <w:webHidden/>
          </w:rPr>
          <w:fldChar w:fldCharType="end"/>
        </w:r>
      </w:hyperlink>
    </w:p>
    <w:p w14:paraId="49950A41" w14:textId="648A9657" w:rsidR="00C25B29" w:rsidRDefault="00C25B29">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27668609" w:history="1">
        <w:r w:rsidRPr="007166DB">
          <w:rPr>
            <w:rStyle w:val="Hipervnculo"/>
            <w:rFonts w:cs="Arial"/>
            <w:noProof/>
          </w:rPr>
          <w:t>Sección X. Conclusiones generales</w:t>
        </w:r>
        <w:r>
          <w:rPr>
            <w:noProof/>
            <w:webHidden/>
          </w:rPr>
          <w:tab/>
        </w:r>
        <w:r>
          <w:rPr>
            <w:noProof/>
            <w:webHidden/>
          </w:rPr>
          <w:fldChar w:fldCharType="begin"/>
        </w:r>
        <w:r>
          <w:rPr>
            <w:noProof/>
            <w:webHidden/>
          </w:rPr>
          <w:instrText xml:space="preserve"> PAGEREF _Toc227668609 \h </w:instrText>
        </w:r>
        <w:r>
          <w:rPr>
            <w:noProof/>
            <w:webHidden/>
          </w:rPr>
        </w:r>
        <w:r>
          <w:rPr>
            <w:noProof/>
            <w:webHidden/>
          </w:rPr>
          <w:fldChar w:fldCharType="separate"/>
        </w:r>
        <w:r w:rsidR="00B35996">
          <w:rPr>
            <w:noProof/>
            <w:webHidden/>
          </w:rPr>
          <w:t>45</w:t>
        </w:r>
        <w:r>
          <w:rPr>
            <w:noProof/>
            <w:webHidden/>
          </w:rPr>
          <w:fldChar w:fldCharType="end"/>
        </w:r>
      </w:hyperlink>
    </w:p>
    <w:p w14:paraId="75B74C1B" w14:textId="7BEF6898" w:rsidR="00C25B29" w:rsidRDefault="00C25B29">
      <w:pPr>
        <w:pStyle w:val="TDC1"/>
        <w:tabs>
          <w:tab w:val="left" w:pos="800"/>
          <w:tab w:val="right" w:leader="dot" w:pos="8828"/>
        </w:tabs>
        <w:rPr>
          <w:rFonts w:eastAsiaTheme="minorEastAsia" w:cstheme="minorBidi"/>
          <w:b w:val="0"/>
          <w:bCs w:val="0"/>
          <w:caps w:val="0"/>
          <w:noProof/>
          <w:kern w:val="2"/>
          <w:sz w:val="24"/>
          <w:szCs w:val="24"/>
          <w:lang w:val="es-ES" w:eastAsia="es-ES"/>
          <w14:ligatures w14:val="standardContextual"/>
        </w:rPr>
      </w:pPr>
      <w:hyperlink w:anchor="_Toc227668610" w:history="1">
        <w:r w:rsidRPr="007166DB">
          <w:rPr>
            <w:rStyle w:val="Hipervnculo"/>
            <w:rFonts w:cs="Times New Roman"/>
            <w:noProof/>
          </w:rPr>
          <w:t>III.</w:t>
        </w:r>
        <w:r>
          <w:rPr>
            <w:rFonts w:eastAsiaTheme="minorEastAsia" w:cstheme="minorBidi"/>
            <w:b w:val="0"/>
            <w:bCs w:val="0"/>
            <w:caps w:val="0"/>
            <w:noProof/>
            <w:kern w:val="2"/>
            <w:sz w:val="24"/>
            <w:szCs w:val="24"/>
            <w:lang w:val="es-ES" w:eastAsia="es-ES"/>
            <w14:ligatures w14:val="standardContextual"/>
          </w:rPr>
          <w:tab/>
        </w:r>
        <w:r w:rsidRPr="007166DB">
          <w:rPr>
            <w:rStyle w:val="Hipervnculo"/>
            <w:rFonts w:cs="Times New Roman"/>
            <w:noProof/>
          </w:rPr>
          <w:t>Disposiciones Generales</w:t>
        </w:r>
        <w:r>
          <w:rPr>
            <w:noProof/>
            <w:webHidden/>
          </w:rPr>
          <w:tab/>
        </w:r>
        <w:r>
          <w:rPr>
            <w:noProof/>
            <w:webHidden/>
          </w:rPr>
          <w:fldChar w:fldCharType="begin"/>
        </w:r>
        <w:r>
          <w:rPr>
            <w:noProof/>
            <w:webHidden/>
          </w:rPr>
          <w:instrText xml:space="preserve"> PAGEREF _Toc227668610 \h </w:instrText>
        </w:r>
        <w:r>
          <w:rPr>
            <w:noProof/>
            <w:webHidden/>
          </w:rPr>
        </w:r>
        <w:r>
          <w:rPr>
            <w:noProof/>
            <w:webHidden/>
          </w:rPr>
          <w:fldChar w:fldCharType="separate"/>
        </w:r>
        <w:r w:rsidR="00B35996">
          <w:rPr>
            <w:noProof/>
            <w:webHidden/>
          </w:rPr>
          <w:t>46</w:t>
        </w:r>
        <w:r>
          <w:rPr>
            <w:noProof/>
            <w:webHidden/>
          </w:rPr>
          <w:fldChar w:fldCharType="end"/>
        </w:r>
      </w:hyperlink>
    </w:p>
    <w:p w14:paraId="13EFA89D" w14:textId="6AF4502C" w:rsidR="00C25B29" w:rsidRDefault="00C25B29">
      <w:pPr>
        <w:pStyle w:val="TDC1"/>
        <w:tabs>
          <w:tab w:val="left" w:pos="800"/>
          <w:tab w:val="right" w:leader="dot" w:pos="8828"/>
        </w:tabs>
        <w:rPr>
          <w:rFonts w:eastAsiaTheme="minorEastAsia" w:cstheme="minorBidi"/>
          <w:b w:val="0"/>
          <w:bCs w:val="0"/>
          <w:caps w:val="0"/>
          <w:noProof/>
          <w:kern w:val="2"/>
          <w:sz w:val="24"/>
          <w:szCs w:val="24"/>
          <w:lang w:val="es-ES" w:eastAsia="es-ES"/>
          <w14:ligatures w14:val="standardContextual"/>
        </w:rPr>
      </w:pPr>
      <w:hyperlink w:anchor="_Toc227668611" w:history="1">
        <w:r w:rsidRPr="007166DB">
          <w:rPr>
            <w:rStyle w:val="Hipervnculo"/>
            <w:rFonts w:cs="Times New Roman"/>
            <w:noProof/>
          </w:rPr>
          <w:t>IV.</w:t>
        </w:r>
        <w:r>
          <w:rPr>
            <w:rFonts w:eastAsiaTheme="minorEastAsia" w:cstheme="minorBidi"/>
            <w:b w:val="0"/>
            <w:bCs w:val="0"/>
            <w:caps w:val="0"/>
            <w:noProof/>
            <w:kern w:val="2"/>
            <w:sz w:val="24"/>
            <w:szCs w:val="24"/>
            <w:lang w:val="es-ES" w:eastAsia="es-ES"/>
            <w14:ligatures w14:val="standardContextual"/>
          </w:rPr>
          <w:tab/>
        </w:r>
        <w:r w:rsidRPr="007166DB">
          <w:rPr>
            <w:rStyle w:val="Hipervnculo"/>
            <w:rFonts w:cs="Times New Roman"/>
            <w:noProof/>
          </w:rPr>
          <w:t>Formatos de Anexos</w:t>
        </w:r>
        <w:r>
          <w:rPr>
            <w:noProof/>
            <w:webHidden/>
          </w:rPr>
          <w:tab/>
        </w:r>
        <w:r>
          <w:rPr>
            <w:noProof/>
            <w:webHidden/>
          </w:rPr>
          <w:fldChar w:fldCharType="begin"/>
        </w:r>
        <w:r>
          <w:rPr>
            <w:noProof/>
            <w:webHidden/>
          </w:rPr>
          <w:instrText xml:space="preserve"> PAGEREF _Toc227668611 \h </w:instrText>
        </w:r>
        <w:r>
          <w:rPr>
            <w:noProof/>
            <w:webHidden/>
          </w:rPr>
        </w:r>
        <w:r>
          <w:rPr>
            <w:noProof/>
            <w:webHidden/>
          </w:rPr>
          <w:fldChar w:fldCharType="separate"/>
        </w:r>
        <w:r w:rsidR="00B35996">
          <w:rPr>
            <w:noProof/>
            <w:webHidden/>
          </w:rPr>
          <w:t>50</w:t>
        </w:r>
        <w:r>
          <w:rPr>
            <w:noProof/>
            <w:webHidden/>
          </w:rPr>
          <w:fldChar w:fldCharType="end"/>
        </w:r>
      </w:hyperlink>
    </w:p>
    <w:p w14:paraId="326694E0" w14:textId="6C244BCD" w:rsidR="0014229D" w:rsidRPr="002150BE" w:rsidRDefault="00FC3810" w:rsidP="002B7F20">
      <w:pPr>
        <w:rPr>
          <w:rFonts w:asciiTheme="minorHAnsi" w:hAnsiTheme="minorHAnsi" w:cstheme="minorHAnsi"/>
          <w:b/>
          <w:bCs/>
          <w:caps/>
          <w:szCs w:val="20"/>
          <w:lang w:eastAsia="es-MX"/>
        </w:rPr>
      </w:pPr>
      <w:r w:rsidRPr="002150BE">
        <w:rPr>
          <w:rFonts w:asciiTheme="minorHAnsi" w:hAnsiTheme="minorHAnsi" w:cstheme="minorHAnsi"/>
          <w:b/>
          <w:bCs/>
          <w:caps/>
          <w:szCs w:val="20"/>
          <w:lang w:eastAsia="es-MX"/>
        </w:rPr>
        <w:fldChar w:fldCharType="end"/>
      </w:r>
    </w:p>
    <w:p w14:paraId="246A19A3" w14:textId="77777777" w:rsidR="0014229D" w:rsidRPr="002150BE" w:rsidRDefault="0014229D">
      <w:pPr>
        <w:spacing w:line="276" w:lineRule="auto"/>
        <w:jc w:val="left"/>
        <w:rPr>
          <w:rFonts w:asciiTheme="minorHAnsi" w:hAnsiTheme="minorHAnsi" w:cstheme="minorHAnsi"/>
          <w:b/>
          <w:bCs/>
          <w:caps/>
          <w:szCs w:val="20"/>
          <w:lang w:eastAsia="es-MX"/>
        </w:rPr>
        <w:sectPr w:rsidR="0014229D" w:rsidRPr="002150BE" w:rsidSect="00682DE3">
          <w:headerReference w:type="default" r:id="rId13"/>
          <w:footerReference w:type="default" r:id="rId14"/>
          <w:pgSz w:w="12240" w:h="15840" w:code="1"/>
          <w:pgMar w:top="1661" w:right="1701" w:bottom="1134" w:left="1701" w:header="284" w:footer="1077" w:gutter="0"/>
          <w:cols w:space="708"/>
          <w:docGrid w:linePitch="360"/>
        </w:sectPr>
      </w:pPr>
    </w:p>
    <w:p w14:paraId="156647E7" w14:textId="77777777" w:rsidR="000E4E05" w:rsidRPr="00B7278C" w:rsidRDefault="000E4E05" w:rsidP="00B7278C">
      <w:pPr>
        <w:pStyle w:val="Ttulo1"/>
      </w:pPr>
      <w:bookmarkStart w:id="27" w:name="_Toc180142928"/>
      <w:bookmarkStart w:id="28" w:name="_Toc209004233"/>
      <w:bookmarkStart w:id="29" w:name="_Toc134535888"/>
      <w:bookmarkStart w:id="30" w:name="_Toc85630262"/>
      <w:bookmarkStart w:id="31" w:name="_Toc85630292"/>
      <w:bookmarkStart w:id="32" w:name="_Toc85707980"/>
      <w:bookmarkStart w:id="33" w:name="_Toc85708356"/>
      <w:bookmarkStart w:id="34" w:name="_Toc85711230"/>
      <w:bookmarkStart w:id="35" w:name="_Toc22766859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B7278C">
        <w:lastRenderedPageBreak/>
        <w:t>Introducción</w:t>
      </w:r>
      <w:bookmarkEnd w:id="27"/>
      <w:bookmarkEnd w:id="28"/>
      <w:bookmarkEnd w:id="35"/>
    </w:p>
    <w:p w14:paraId="0FE1198D" w14:textId="77777777" w:rsidR="00043D65" w:rsidRPr="002150BE" w:rsidRDefault="00043D65" w:rsidP="00B7278C">
      <w:r w:rsidRPr="002150BE">
        <w:t>Con fundamento en lo dispuesto por los artículos 134 de la Constitución Política de los Estados Unidos Mexicanos; 155 de la Constitución Política del Estado de Sinaloa; 4, fracción XII, 54, 61, fracción II, inciso c) y 79, de la Ley General de Contabilidad Gubernamental; 85 y 110 de la Ley Federal de Presupuesto y Responsabilidad Hacendaria; 49, fracción V de la Ley de Coordinación Fiscal; 1°, 3°, 11, 21 y 23 de la Ley Orgánica de la Administración Pública  del Estado de Sinaloa; 1°, 13, 15, Fracción II, 17, Fracciones I, III, IV, V, VIII y LII, del Reglamento Orgánico de la Administración Pública del Estado de Sinaloa; 3, 7 y 10, de la Ley de Planeación para el Estado de Sinaloa; 1, 2, 4, 5, 6, 7, 27, 28, 29, 31, 33, 63, 65, 80, 85 89, 90 y 91 de la Ley de Presupuesto y Responsabilidad Hacendaria del Estado de Sinaloa; 9°, fracciones II, VIII, XV, XVII, XVIII, XIX, XX, XXI y LXX, del Reglamento Interior de la Secretaría de Administración y Finanzas del Estado de Sinaloa, se emitió el Programa Anual de Evaluación (PAE) 2025.</w:t>
      </w:r>
    </w:p>
    <w:p w14:paraId="499DE547" w14:textId="77777777" w:rsidR="00043D65" w:rsidRPr="002150BE" w:rsidRDefault="00043D65" w:rsidP="00B7278C">
      <w:r w:rsidRPr="002150BE">
        <w:t xml:space="preserve">La Evaluación de Diseño </w:t>
      </w:r>
      <w:r w:rsidR="00AC4030" w:rsidRPr="002150BE">
        <w:t>2024</w:t>
      </w:r>
      <w:r w:rsidRPr="002150BE">
        <w:t xml:space="preserve"> al programa/proyecto</w:t>
      </w:r>
      <w:r w:rsidR="00FA2FFE" w:rsidRPr="002150BE">
        <w:t xml:space="preserve"> E053: Servicios de Educación Superior y Posgrado de Calidad</w:t>
      </w:r>
      <w:r w:rsidRPr="002150BE">
        <w:t>, pretende dar cumplimiento a una de las estrategias consideradas en el Plan Estatal de Desarrollo 2022 – 2027; en el Eje 3: Gobierno Democrático, Promotor de Paz, Seguridad, Ética y Eficiencia; Tema 3.4: Hacienda Pública Responsable, Honesta y Eficiente; 2.Política de Gasto Público; Objetivo Prioritario 2.5: Consolidar la implantación y operación del Presupuesto basado en Resultados y del Sistema de Evaluación del Desempeño (PbR-SED) en el estado; Estrategia 2.5.1: Crear herramientas que generen avance en cada una de las secciones del ciclo presupuestario y en la consolidación en materia de PbR-SED; Líneas de Acción: 2.5.1.7; 2.5.1.8 y 2.5.1.11.</w:t>
      </w:r>
    </w:p>
    <w:p w14:paraId="4971B154" w14:textId="77777777" w:rsidR="00043D65" w:rsidRPr="002150BE" w:rsidRDefault="00043D65" w:rsidP="00B7278C">
      <w:r w:rsidRPr="002150BE">
        <w:t>La evaluación fue realizada con información de</w:t>
      </w:r>
      <w:r w:rsidR="00FA2FFE" w:rsidRPr="002150BE">
        <w:t xml:space="preserve"> </w:t>
      </w:r>
      <w:r w:rsidRPr="002150BE">
        <w:t>gabinete proporcionada por</w:t>
      </w:r>
      <w:r w:rsidR="00FA2FFE" w:rsidRPr="002150BE">
        <w:t xml:space="preserve"> la Universidad Tecnológica de Culiacán</w:t>
      </w:r>
      <w:r w:rsidRPr="002150BE">
        <w:t>, la cual consiste en información operativa, documentación normativa, para complementar la documentación entregada.</w:t>
      </w:r>
    </w:p>
    <w:p w14:paraId="29ACC9DF" w14:textId="77777777" w:rsidR="00043D65" w:rsidRPr="002150BE" w:rsidRDefault="00043D65" w:rsidP="00B7278C">
      <w:r w:rsidRPr="002150BE">
        <w:t xml:space="preserve">El propósito del PAE 2025 es evaluar los fondos y programas presupuestarios del ejercicio fiscal 2024 y 2025, entre los que destaca la Evaluación de </w:t>
      </w:r>
      <w:r w:rsidR="00C51BE9" w:rsidRPr="002150BE">
        <w:t>Diseño</w:t>
      </w:r>
      <w:r w:rsidRPr="002150BE">
        <w:t xml:space="preserve"> del programa/proyecto</w:t>
      </w:r>
      <w:r w:rsidR="00FA2FFE" w:rsidRPr="002150BE">
        <w:t xml:space="preserve"> E053: Servicios de Educación Superior y Posgrado de Calidad</w:t>
      </w:r>
      <w:r w:rsidRPr="002150BE">
        <w:t>.</w:t>
      </w:r>
    </w:p>
    <w:p w14:paraId="64C92822" w14:textId="77777777" w:rsidR="00043D65" w:rsidRPr="002150BE" w:rsidRDefault="00043D65" w:rsidP="00B7278C">
      <w:r w:rsidRPr="002150BE">
        <w:t xml:space="preserve">El presente documento constituye la evaluación del programa/proyecto antes mencionado, para el ejercicio fiscal </w:t>
      </w:r>
      <w:r w:rsidR="00FA2FFE" w:rsidRPr="002150BE">
        <w:t>2024</w:t>
      </w:r>
      <w:r w:rsidRPr="002150BE">
        <w:t>, realizado conforme a los TdR establecidos por el Gobierno del Estado de Sinaloa y que corresponden a los emitidos por la Unidad de Evaluación del Desempeño de SHCP.</w:t>
      </w:r>
      <w:r w:rsidRPr="002150BE">
        <w:br w:type="page"/>
      </w:r>
    </w:p>
    <w:p w14:paraId="14157C11" w14:textId="77777777" w:rsidR="00DC25E4" w:rsidRPr="002150BE" w:rsidRDefault="00DC25E4" w:rsidP="00004FF9">
      <w:pPr>
        <w:rPr>
          <w:rFonts w:asciiTheme="minorHAnsi" w:hAnsiTheme="minorHAnsi" w:cstheme="minorHAnsi"/>
        </w:rPr>
      </w:pPr>
      <w:r w:rsidRPr="002150BE">
        <w:rPr>
          <w:rFonts w:asciiTheme="minorHAnsi" w:hAnsiTheme="minorHAnsi" w:cstheme="minorHAnsi"/>
          <w:noProof/>
          <w:lang w:eastAsia="es-MX"/>
        </w:rPr>
        <w:lastRenderedPageBreak/>
        <mc:AlternateContent>
          <mc:Choice Requires="wps">
            <w:drawing>
              <wp:inline distT="0" distB="0" distL="0" distR="0" wp14:anchorId="19028347" wp14:editId="10730B7E">
                <wp:extent cx="5610225" cy="360000"/>
                <wp:effectExtent l="0" t="0" r="9525" b="2540"/>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60000"/>
                        </a:xfrm>
                        <a:prstGeom prst="rect">
                          <a:avLst/>
                        </a:prstGeom>
                        <a:gradFill flip="none" rotWithShape="1">
                          <a:gsLst>
                            <a:gs pos="19000">
                              <a:schemeClr val="bg1"/>
                            </a:gs>
                            <a:gs pos="55000">
                              <a:schemeClr val="bg1">
                                <a:lumMod val="85000"/>
                              </a:schemeClr>
                            </a:gs>
                            <a:gs pos="79000">
                              <a:schemeClr val="bg1">
                                <a:lumMod val="65000"/>
                              </a:schemeClr>
                            </a:gs>
                            <a:gs pos="94000">
                              <a:schemeClr val="bg1">
                                <a:lumMod val="50000"/>
                              </a:schemeClr>
                            </a:gs>
                          </a:gsLst>
                          <a:lin ang="0" scaled="1"/>
                          <a:tileRect/>
                        </a:gradFill>
                        <a:ln w="9525">
                          <a:noFill/>
                          <a:miter lim="800000"/>
                          <a:headEnd/>
                          <a:tailEnd/>
                        </a:ln>
                      </wps:spPr>
                      <wps:txbx>
                        <w:txbxContent>
                          <w:p w14:paraId="2BFEDD13" w14:textId="77777777" w:rsidR="00F43EAE" w:rsidRPr="008E0C59" w:rsidRDefault="00F43EAE" w:rsidP="00190ACD">
                            <w:pPr>
                              <w:pStyle w:val="Ttulo1"/>
                              <w:numPr>
                                <w:ilvl w:val="0"/>
                                <w:numId w:val="11"/>
                              </w:numPr>
                              <w:jc w:val="left"/>
                              <w:rPr>
                                <w:rFonts w:cs="Times New Roman"/>
                                <w:szCs w:val="22"/>
                              </w:rPr>
                            </w:pPr>
                            <w:bookmarkStart w:id="36" w:name="_Toc227668596"/>
                            <w:r>
                              <w:rPr>
                                <w:rFonts w:cs="Times New Roman"/>
                                <w:szCs w:val="22"/>
                              </w:rPr>
                              <w:t>Objetivos de la Evaluación</w:t>
                            </w:r>
                            <w:bookmarkEnd w:id="36"/>
                          </w:p>
                        </w:txbxContent>
                      </wps:txbx>
                      <wps:bodyPr rot="0" vert="horz" wrap="square" lIns="91440" tIns="45720" rIns="91440" bIns="45720" anchor="ctr" anchorCtr="0">
                        <a:noAutofit/>
                      </wps:bodyPr>
                    </wps:wsp>
                  </a:graphicData>
                </a:graphic>
              </wp:inline>
            </w:drawing>
          </mc:Choice>
          <mc:Fallback>
            <w:pict>
              <v:shape w14:anchorId="19028347" id="Cuadro de texto 2" o:spid="_x0000_s1029" type="#_x0000_t202" style="width:441.7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" fillcolor="white [3212]" stroked="f">
                <v:fill color2="#7f7f7f [1612]" rotate="t" angle="90" colors="0 white;12452f white;36045f #d9d9d9;51773f #a6a6a6" focus="100%" type="gradient"/>
                <v:textbox>
                  <w:txbxContent>
                    <w:p w14:paraId="2BFEDD13" w14:textId="77777777" w:rsidR="00F43EAE" w:rsidRPr="008E0C59" w:rsidRDefault="00F43EAE" w:rsidP="00190ACD">
                      <w:pPr>
                        <w:pStyle w:val="Ttulo1"/>
                        <w:numPr>
                          <w:ilvl w:val="0"/>
                          <w:numId w:val="11"/>
                        </w:numPr>
                        <w:jc w:val="left"/>
                        <w:rPr>
                          <w:rFonts w:cs="Times New Roman"/>
                          <w:szCs w:val="22"/>
                        </w:rPr>
                      </w:pPr>
                      <w:bookmarkStart w:id="37" w:name="_Toc227668596"/>
                      <w:r>
                        <w:rPr>
                          <w:rFonts w:cs="Times New Roman"/>
                          <w:szCs w:val="22"/>
                        </w:rPr>
                        <w:t>Objetivos de la Evaluación</w:t>
                      </w:r>
                      <w:bookmarkEnd w:id="37"/>
                    </w:p>
                  </w:txbxContent>
                </v:textbox>
                <w10:anchorlock/>
              </v:shape>
            </w:pict>
          </mc:Fallback>
        </mc:AlternateContent>
      </w:r>
    </w:p>
    <w:p w14:paraId="1745583E" w14:textId="77777777" w:rsidR="00AC5507" w:rsidRPr="00074E91" w:rsidRDefault="00AC5507" w:rsidP="00074E91">
      <w:pPr>
        <w:pStyle w:val="Ttulo2"/>
      </w:pPr>
      <w:bookmarkStart w:id="38" w:name="_Toc227668597"/>
      <w:r w:rsidRPr="00074E91">
        <w:t>Objetivo General</w:t>
      </w:r>
      <w:bookmarkEnd w:id="29"/>
      <w:bookmarkEnd w:id="38"/>
    </w:p>
    <w:p w14:paraId="5A57019D" w14:textId="7E4C3E34" w:rsidR="00443EC7" w:rsidRPr="002150BE" w:rsidRDefault="00443EC7" w:rsidP="00074E91">
      <w:r w:rsidRPr="002150BE">
        <w:t>Evaluar el diseño del Programa presupuestario (Pp)</w:t>
      </w:r>
      <w:r w:rsidR="00FA2FFE" w:rsidRPr="002150BE">
        <w:t xml:space="preserve"> E053 Servicios de Educación Superior y Posgrado de Calidad</w:t>
      </w:r>
      <w:r w:rsidRPr="002150BE">
        <w:t>, partiendo del análisis del tipo de intervención seleccionado para el logro de sus objetivos y la valoración de sus elementos conceptuales y operativos, a efecto de identificar áreas de oportunidad y potenciar la mejora continua del Pp.</w:t>
      </w:r>
    </w:p>
    <w:p w14:paraId="56E5BBA0" w14:textId="77777777" w:rsidR="00A27DB5" w:rsidRPr="00074E91" w:rsidRDefault="00A27DB5" w:rsidP="00074E91">
      <w:pPr>
        <w:pStyle w:val="Ttulo2"/>
      </w:pPr>
      <w:bookmarkStart w:id="39" w:name="_Toc134535889"/>
      <w:bookmarkStart w:id="40" w:name="_Toc85630263"/>
      <w:bookmarkStart w:id="41" w:name="_Toc85630293"/>
      <w:bookmarkStart w:id="42" w:name="_Toc85707981"/>
      <w:bookmarkStart w:id="43" w:name="_Toc85708357"/>
      <w:bookmarkStart w:id="44" w:name="_Toc85711231"/>
      <w:bookmarkStart w:id="45" w:name="_Toc227668598"/>
      <w:bookmarkEnd w:id="30"/>
      <w:bookmarkEnd w:id="31"/>
      <w:bookmarkEnd w:id="32"/>
      <w:bookmarkEnd w:id="33"/>
      <w:bookmarkEnd w:id="34"/>
      <w:r w:rsidRPr="00074E91">
        <w:t xml:space="preserve">Objetivo </w:t>
      </w:r>
      <w:bookmarkEnd w:id="39"/>
      <w:r w:rsidRPr="00074E91">
        <w:t>Específicos</w:t>
      </w:r>
      <w:bookmarkEnd w:id="45"/>
    </w:p>
    <w:bookmarkEnd w:id="40"/>
    <w:bookmarkEnd w:id="41"/>
    <w:bookmarkEnd w:id="42"/>
    <w:bookmarkEnd w:id="43"/>
    <w:bookmarkEnd w:id="44"/>
    <w:p w14:paraId="465BCFED" w14:textId="77777777" w:rsidR="00443EC7" w:rsidRPr="00074E91" w:rsidRDefault="00443EC7" w:rsidP="00190ACD">
      <w:pPr>
        <w:pStyle w:val="Prrafodelista"/>
        <w:numPr>
          <w:ilvl w:val="0"/>
          <w:numId w:val="3"/>
        </w:numPr>
        <w:spacing w:line="360" w:lineRule="auto"/>
        <w:ind w:left="714" w:hanging="357"/>
        <w:rPr>
          <w:rFonts w:cs="Arial"/>
          <w:lang w:val="es-ES"/>
        </w:rPr>
      </w:pPr>
      <w:r w:rsidRPr="00074E91">
        <w:rPr>
          <w:rFonts w:cs="Arial"/>
          <w:lang w:val="es-ES"/>
        </w:rPr>
        <w:t>Analizar el problema o necesidad pública que justifica la creación o cambio sustancial del Pp.</w:t>
      </w:r>
    </w:p>
    <w:p w14:paraId="4B449907" w14:textId="77777777" w:rsidR="00443EC7" w:rsidRPr="00074E91" w:rsidRDefault="00443EC7" w:rsidP="00190ACD">
      <w:pPr>
        <w:pStyle w:val="Prrafodelista"/>
        <w:numPr>
          <w:ilvl w:val="0"/>
          <w:numId w:val="3"/>
        </w:numPr>
        <w:spacing w:line="360" w:lineRule="auto"/>
        <w:ind w:left="714" w:hanging="357"/>
        <w:rPr>
          <w:rFonts w:cs="Arial"/>
          <w:lang w:val="es-ES"/>
        </w:rPr>
      </w:pPr>
      <w:r w:rsidRPr="00074E91">
        <w:rPr>
          <w:rFonts w:cs="Arial"/>
          <w:lang w:val="es-ES"/>
        </w:rPr>
        <w:t>Analizar la pertinencia del diseño del Pp respecto al problema o necesidad pública que busca atender.</w:t>
      </w:r>
    </w:p>
    <w:p w14:paraId="21AF8AE5" w14:textId="77777777" w:rsidR="00443EC7" w:rsidRPr="00074E91" w:rsidRDefault="00443EC7" w:rsidP="00190ACD">
      <w:pPr>
        <w:pStyle w:val="Prrafodelista"/>
        <w:numPr>
          <w:ilvl w:val="0"/>
          <w:numId w:val="3"/>
        </w:numPr>
        <w:spacing w:line="360" w:lineRule="auto"/>
        <w:ind w:left="714" w:hanging="357"/>
        <w:rPr>
          <w:rFonts w:cs="Arial"/>
          <w:lang w:val="es-ES"/>
        </w:rPr>
      </w:pPr>
      <w:r w:rsidRPr="00074E91">
        <w:rPr>
          <w:rFonts w:cs="Arial"/>
          <w:lang w:val="es-ES"/>
        </w:rPr>
        <w:t xml:space="preserve">Analizar la consistencia entre el diseño del Pp y la normatividad vigente aplicable. </w:t>
      </w:r>
    </w:p>
    <w:p w14:paraId="66703580" w14:textId="77777777" w:rsidR="00443EC7" w:rsidRPr="00074E91" w:rsidRDefault="00443EC7" w:rsidP="00190ACD">
      <w:pPr>
        <w:pStyle w:val="Prrafodelista"/>
        <w:numPr>
          <w:ilvl w:val="0"/>
          <w:numId w:val="3"/>
        </w:numPr>
        <w:spacing w:line="360" w:lineRule="auto"/>
        <w:ind w:left="714" w:hanging="357"/>
        <w:rPr>
          <w:rFonts w:cs="Arial"/>
          <w:lang w:val="es-ES"/>
        </w:rPr>
      </w:pPr>
      <w:r w:rsidRPr="00074E91">
        <w:rPr>
          <w:rFonts w:cs="Arial"/>
          <w:lang w:val="es-ES"/>
        </w:rPr>
        <w:t>Analizar la contribución del Pp al cumplimiento de los objetivos de la planeación</w:t>
      </w:r>
      <w:r w:rsidR="00384E68" w:rsidRPr="00074E91">
        <w:rPr>
          <w:rFonts w:cs="Arial"/>
          <w:lang w:val="es-ES"/>
        </w:rPr>
        <w:t xml:space="preserve"> estatal, </w:t>
      </w:r>
      <w:r w:rsidRPr="00074E91">
        <w:rPr>
          <w:rFonts w:cs="Arial"/>
          <w:lang w:val="es-ES"/>
        </w:rPr>
        <w:t xml:space="preserve">nacional y estratégicos. </w:t>
      </w:r>
    </w:p>
    <w:p w14:paraId="79C1662F" w14:textId="77777777" w:rsidR="00443EC7" w:rsidRPr="00074E91" w:rsidRDefault="00443EC7" w:rsidP="00190ACD">
      <w:pPr>
        <w:pStyle w:val="Prrafodelista"/>
        <w:numPr>
          <w:ilvl w:val="0"/>
          <w:numId w:val="3"/>
        </w:numPr>
        <w:spacing w:line="360" w:lineRule="auto"/>
        <w:ind w:left="714" w:hanging="357"/>
        <w:rPr>
          <w:rFonts w:cs="Arial"/>
          <w:lang w:val="es-ES"/>
        </w:rPr>
      </w:pPr>
      <w:r w:rsidRPr="00074E91">
        <w:rPr>
          <w:rFonts w:cs="Arial"/>
          <w:lang w:val="es-ES"/>
        </w:rPr>
        <w:t>Identificar posibles complementariedades o similitudes, así como riesgo de duplicidades con otros Pp de la AP</w:t>
      </w:r>
      <w:r w:rsidR="00384E68" w:rsidRPr="00074E91">
        <w:rPr>
          <w:rFonts w:cs="Arial"/>
          <w:lang w:val="es-ES"/>
        </w:rPr>
        <w:t>E</w:t>
      </w:r>
      <w:r w:rsidRPr="00074E91">
        <w:rPr>
          <w:rFonts w:cs="Arial"/>
          <w:lang w:val="es-ES"/>
        </w:rPr>
        <w:t>.</w:t>
      </w:r>
    </w:p>
    <w:p w14:paraId="0B7A0E7E" w14:textId="61497C7C" w:rsidR="00443EC7" w:rsidRPr="00074E91" w:rsidRDefault="00443EC7" w:rsidP="00190ACD">
      <w:pPr>
        <w:pStyle w:val="Prrafodelista"/>
        <w:numPr>
          <w:ilvl w:val="0"/>
          <w:numId w:val="3"/>
        </w:numPr>
        <w:spacing w:line="360" w:lineRule="auto"/>
        <w:ind w:left="714" w:hanging="357"/>
        <w:rPr>
          <w:rFonts w:cs="Arial"/>
          <w:lang w:val="es-ES"/>
        </w:rPr>
      </w:pPr>
      <w:r w:rsidRPr="00074E91">
        <w:rPr>
          <w:rFonts w:cs="Arial"/>
          <w:lang w:val="es-ES"/>
        </w:rPr>
        <w:t xml:space="preserve">Analizar la consistencia del Instrumento de Seguimiento del Desempeño respecto al diseño del Pp. </w:t>
      </w:r>
    </w:p>
    <w:p w14:paraId="17F4DC37" w14:textId="77777777" w:rsidR="00DC25E4" w:rsidRPr="002150BE" w:rsidRDefault="00496E63" w:rsidP="00513665">
      <w:pPr>
        <w:rPr>
          <w:rFonts w:asciiTheme="minorHAnsi" w:hAnsiTheme="minorHAnsi" w:cstheme="minorHAnsi"/>
          <w:lang w:val="es-ES"/>
        </w:rPr>
      </w:pPr>
      <w:r w:rsidRPr="002150BE">
        <w:rPr>
          <w:rFonts w:asciiTheme="minorHAnsi" w:hAnsiTheme="minorHAnsi" w:cstheme="minorHAnsi"/>
          <w:noProof/>
          <w:lang w:eastAsia="es-MX"/>
        </w:rPr>
        <mc:AlternateContent>
          <mc:Choice Requires="wps">
            <w:drawing>
              <wp:inline distT="0" distB="0" distL="0" distR="0" wp14:anchorId="426D2465" wp14:editId="701A1938">
                <wp:extent cx="5610225" cy="360000"/>
                <wp:effectExtent l="0" t="0" r="9525" b="2540"/>
                <wp:docPr id="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60000"/>
                        </a:xfrm>
                        <a:prstGeom prst="rect">
                          <a:avLst/>
                        </a:prstGeom>
                        <a:gradFill flip="none" rotWithShape="1">
                          <a:gsLst>
                            <a:gs pos="19000">
                              <a:schemeClr val="bg1"/>
                            </a:gs>
                            <a:gs pos="55000">
                              <a:schemeClr val="bg1">
                                <a:lumMod val="85000"/>
                              </a:schemeClr>
                            </a:gs>
                            <a:gs pos="79000">
                              <a:schemeClr val="bg1">
                                <a:lumMod val="65000"/>
                              </a:schemeClr>
                            </a:gs>
                            <a:gs pos="94000">
                              <a:schemeClr val="bg1">
                                <a:lumMod val="50000"/>
                              </a:schemeClr>
                            </a:gs>
                          </a:gsLst>
                          <a:lin ang="0" scaled="1"/>
                          <a:tileRect/>
                        </a:gradFill>
                        <a:ln w="9525">
                          <a:noFill/>
                          <a:miter lim="800000"/>
                          <a:headEnd/>
                          <a:tailEnd/>
                        </a:ln>
                      </wps:spPr>
                      <wps:txbx>
                        <w:txbxContent>
                          <w:p w14:paraId="3A584DF8" w14:textId="77777777" w:rsidR="00F43EAE" w:rsidRPr="008E0C59" w:rsidRDefault="00F43EAE" w:rsidP="00190ACD">
                            <w:pPr>
                              <w:pStyle w:val="Ttulo1"/>
                              <w:numPr>
                                <w:ilvl w:val="0"/>
                                <w:numId w:val="11"/>
                              </w:numPr>
                              <w:jc w:val="left"/>
                              <w:rPr>
                                <w:rFonts w:cs="Times New Roman"/>
                                <w:szCs w:val="22"/>
                              </w:rPr>
                            </w:pPr>
                            <w:bookmarkStart w:id="46" w:name="_Toc227668599"/>
                            <w:r>
                              <w:rPr>
                                <w:rFonts w:cs="Times New Roman"/>
                                <w:szCs w:val="22"/>
                              </w:rPr>
                              <w:t>Contenido de la Evaluación</w:t>
                            </w:r>
                            <w:bookmarkEnd w:id="46"/>
                          </w:p>
                        </w:txbxContent>
                      </wps:txbx>
                      <wps:bodyPr rot="0" vert="horz" wrap="square" lIns="91440" tIns="45720" rIns="91440" bIns="45720" anchor="ctr" anchorCtr="0">
                        <a:noAutofit/>
                      </wps:bodyPr>
                    </wps:wsp>
                  </a:graphicData>
                </a:graphic>
              </wp:inline>
            </w:drawing>
          </mc:Choice>
          <mc:Fallback>
            <w:pict>
              <v:shape w14:anchorId="426D2465" id="_x0000_s1030" type="#_x0000_t202" style="width:441.7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" fillcolor="white [3212]" stroked="f">
                <v:fill color2="#7f7f7f [1612]" rotate="t" angle="90" colors="0 white;12452f white;36045f #d9d9d9;51773f #a6a6a6" focus="100%" type="gradient"/>
                <v:textbox>
                  <w:txbxContent>
                    <w:p w14:paraId="3A584DF8" w14:textId="77777777" w:rsidR="00F43EAE" w:rsidRPr="008E0C59" w:rsidRDefault="00F43EAE" w:rsidP="00190ACD">
                      <w:pPr>
                        <w:pStyle w:val="Ttulo1"/>
                        <w:numPr>
                          <w:ilvl w:val="0"/>
                          <w:numId w:val="11"/>
                        </w:numPr>
                        <w:jc w:val="left"/>
                        <w:rPr>
                          <w:rFonts w:cs="Times New Roman"/>
                          <w:szCs w:val="22"/>
                        </w:rPr>
                      </w:pPr>
                      <w:bookmarkStart w:id="47" w:name="_Toc227668599"/>
                      <w:r>
                        <w:rPr>
                          <w:rFonts w:cs="Times New Roman"/>
                          <w:szCs w:val="22"/>
                        </w:rPr>
                        <w:t>Contenido de la Evaluación</w:t>
                      </w:r>
                      <w:bookmarkEnd w:id="47"/>
                    </w:p>
                  </w:txbxContent>
                </v:textbox>
                <w10:anchorlock/>
              </v:shape>
            </w:pict>
          </mc:Fallback>
        </mc:AlternateContent>
      </w:r>
    </w:p>
    <w:p w14:paraId="27B0EBD8" w14:textId="77777777" w:rsidR="00496E63" w:rsidRPr="00074E91" w:rsidRDefault="00496E63" w:rsidP="00496E63">
      <w:pPr>
        <w:pStyle w:val="Ttulo3"/>
        <w:rPr>
          <w:rFonts w:cs="Arial"/>
          <w:lang w:val="es-ES"/>
        </w:rPr>
      </w:pPr>
      <w:bookmarkStart w:id="48" w:name="_Toc227668600"/>
      <w:r w:rsidRPr="00074E91">
        <w:rPr>
          <w:rFonts w:cs="Arial"/>
          <w:lang w:val="es-ES"/>
        </w:rPr>
        <w:t>Sección I. Características generales del Programa presupuestario</w:t>
      </w:r>
      <w:bookmarkEnd w:id="48"/>
    </w:p>
    <w:p w14:paraId="49548A58" w14:textId="77777777" w:rsidR="00CA6C0C" w:rsidRPr="00074E91" w:rsidRDefault="00043D65" w:rsidP="00074E91">
      <w:pPr>
        <w:rPr>
          <w:rFonts w:cs="Arial"/>
          <w:lang w:val="es-ES"/>
        </w:rPr>
      </w:pPr>
      <w:r w:rsidRPr="00074E91">
        <w:rPr>
          <w:rFonts w:cs="Arial"/>
          <w:b/>
          <w:bCs/>
          <w:lang w:val="es-ES"/>
        </w:rPr>
        <w:t>Antecedentes</w:t>
      </w:r>
      <w:r w:rsidRPr="00074E91">
        <w:rPr>
          <w:rFonts w:cs="Arial"/>
          <w:lang w:val="es-ES"/>
        </w:rPr>
        <w:t xml:space="preserve">. </w:t>
      </w:r>
    </w:p>
    <w:p w14:paraId="4B4C39BE" w14:textId="77777777" w:rsidR="00CA6C0C" w:rsidRPr="00074E91" w:rsidRDefault="00CA6C0C" w:rsidP="00074E91">
      <w:r w:rsidRPr="00074E91">
        <w:t>El programa presupuestario “Servicios de Educación Superior y Posgrado de Calidad” (E053) surge en el marco de la política estatal de educación superior de Sinaloa para garantizar que las Instituciones de Educación Superior (IES) ofrezcan servicios educativos pertinentes y de calidad. En este contexto, la Universidad Tecnológica de Culiacán (UTC) fue creada como organismo público descentralizado del Gobierno del Estado mediante decreto publicado el 3 de julio de 2013 en el Periódico Oficial “El Estado de Sinaloa”, con personalidad jurídica y patrimonio propios. La UTC se integra al sistema nacional de Universidades Tecnológicas y Politécnicas coordinado por la SEP (DGUTyP) y adopta el modelo BIS (Bilingüe, Internacional y Sustentable) como parte de su oferta académica y de vinculación.</w:t>
      </w:r>
    </w:p>
    <w:p w14:paraId="46501DD1" w14:textId="3B0A670D" w:rsidR="00CA6C0C" w:rsidRPr="00074E91" w:rsidRDefault="00CA6C0C" w:rsidP="00074E91">
      <w:pPr>
        <w:rPr>
          <w:highlight w:val="yellow"/>
          <w:lang w:val="es-ES"/>
        </w:rPr>
      </w:pPr>
      <w:r w:rsidRPr="00074E91">
        <w:lastRenderedPageBreak/>
        <w:t>El Pp no es de nueva creación ni proviene de fusión reciente; se encuentra reconocido de manera estable en los catálogos estatales de programas presupuestarios, al menos desde el ciclo 2024 y permanece para ejercicios subsecuentes (p. ej., 202</w:t>
      </w:r>
      <w:r w:rsidR="008D64C2" w:rsidRPr="00074E91">
        <w:t>5</w:t>
      </w:r>
      <w:r w:rsidRPr="00074E91">
        <w:t>), donde se identifica con la clave E053. En dichos instrumentos, el E053 se ubica en el sector Educación y se formula con la lógica de fortalecer la calidad y resultados de la educación superior en el estado.</w:t>
      </w:r>
    </w:p>
    <w:p w14:paraId="0A94B511" w14:textId="77777777" w:rsidR="00CA6C0C" w:rsidRPr="00074E91" w:rsidRDefault="00043D65" w:rsidP="00074E91">
      <w:pPr>
        <w:rPr>
          <w:rFonts w:cs="Arial"/>
          <w:lang w:val="es-ES"/>
        </w:rPr>
      </w:pPr>
      <w:r w:rsidRPr="00074E91">
        <w:rPr>
          <w:rFonts w:cs="Arial"/>
          <w:b/>
          <w:bCs/>
          <w:lang w:val="es-ES"/>
        </w:rPr>
        <w:t>Identificación del Pp</w:t>
      </w:r>
      <w:r w:rsidRPr="00074E91">
        <w:rPr>
          <w:rFonts w:cs="Arial"/>
          <w:lang w:val="es-ES"/>
        </w:rPr>
        <w:t xml:space="preserve">. </w:t>
      </w:r>
    </w:p>
    <w:p w14:paraId="05F3145D" w14:textId="0475C4C3" w:rsidR="008F200D" w:rsidRPr="00074E91" w:rsidRDefault="008F200D" w:rsidP="00074E91">
      <w:pPr>
        <w:rPr>
          <w:rFonts w:cs="Arial"/>
        </w:rPr>
      </w:pPr>
      <w:r w:rsidRPr="00074E91">
        <w:rPr>
          <w:rFonts w:cs="Arial"/>
        </w:rPr>
        <w:t>El programa presupuestario (Pp) E053: “Servicios de Educación Superior y Posgrado de Calidad” está adscrito al Sector Educación del Gobierno del Estado de Sinaloa, bajo la conducción de la Secretaría de Educación Pública y Cultura (SEPyC) en su calidad de cabeza de sector. Su ejecución se instrumenta a través de las entidades del propio sector, entre ellas la Universidad Tecnológica de Culiacán (UTC</w:t>
      </w:r>
      <w:r w:rsidR="00B54A77" w:rsidRPr="00074E91">
        <w:rPr>
          <w:rFonts w:cs="Arial"/>
        </w:rPr>
        <w:t>).</w:t>
      </w:r>
    </w:p>
    <w:p w14:paraId="5960D653" w14:textId="77777777" w:rsidR="00043D65" w:rsidRPr="00074E91" w:rsidRDefault="00043D65" w:rsidP="00074E91">
      <w:pPr>
        <w:rPr>
          <w:rFonts w:cs="Arial"/>
          <w:lang w:val="es-ES"/>
        </w:rPr>
      </w:pPr>
      <w:r w:rsidRPr="00074E91">
        <w:rPr>
          <w:rFonts w:cs="Arial"/>
          <w:b/>
          <w:bCs/>
          <w:lang w:val="es-ES"/>
        </w:rPr>
        <w:t xml:space="preserve">Problema o necesidad </w:t>
      </w:r>
      <w:r w:rsidR="008F200D" w:rsidRPr="00074E91">
        <w:rPr>
          <w:rFonts w:cs="Arial"/>
          <w:b/>
          <w:bCs/>
          <w:lang w:val="es-ES"/>
        </w:rPr>
        <w:t>pública</w:t>
      </w:r>
      <w:r w:rsidR="008F200D" w:rsidRPr="00074E91">
        <w:rPr>
          <w:rFonts w:cs="Arial"/>
          <w:lang w:val="es-ES"/>
        </w:rPr>
        <w:t xml:space="preserve"> que</w:t>
      </w:r>
      <w:r w:rsidRPr="00074E91">
        <w:rPr>
          <w:rFonts w:cs="Arial"/>
          <w:lang w:val="es-ES"/>
        </w:rPr>
        <w:t xml:space="preserve"> se busca atender.</w:t>
      </w:r>
    </w:p>
    <w:p w14:paraId="08516A21" w14:textId="36792F73" w:rsidR="002150BE" w:rsidRPr="00074E91" w:rsidRDefault="008F200D" w:rsidP="00074E91">
      <w:pPr>
        <w:rPr>
          <w:rFonts w:cs="Arial"/>
        </w:rPr>
      </w:pPr>
      <w:r w:rsidRPr="00074E91">
        <w:rPr>
          <w:rFonts w:cs="Arial"/>
        </w:rPr>
        <w:t xml:space="preserve">El Pp atiende la necesidad pública de garantizar el acceso y la permanencia en educación superior de calidad y con pertinencia, incrementando la cobertura y la eficiencia terminal, mejorando la acreditación y reconocimiento de programas, y fortaleciendo la vinculación con el sector productivo para la inserción laboral. A nivel de diseño estatal, la descripción funcional del E053 es que las IES de Sinaloa “ofrezcan servicios educativos de calidad”, lo que en la UTC se traduce en planes cuatrimestrales, estadías profesionales y el enfoque BIS. </w:t>
      </w:r>
    </w:p>
    <w:p w14:paraId="0D7A1C31" w14:textId="7AA0DD29" w:rsidR="00CA6C0C" w:rsidRPr="00074E91" w:rsidRDefault="00043D65" w:rsidP="00074E91">
      <w:pPr>
        <w:rPr>
          <w:rFonts w:cs="Arial"/>
          <w:lang w:val="es-ES"/>
        </w:rPr>
      </w:pPr>
      <w:r w:rsidRPr="00074E91">
        <w:rPr>
          <w:rFonts w:cs="Arial"/>
          <w:b/>
          <w:bCs/>
          <w:lang w:val="es-ES"/>
        </w:rPr>
        <w:t>Alineación</w:t>
      </w:r>
      <w:r w:rsidRPr="00074E91">
        <w:rPr>
          <w:rFonts w:cs="Arial"/>
          <w:lang w:val="es-ES"/>
        </w:rPr>
        <w:t xml:space="preserve"> </w:t>
      </w:r>
    </w:p>
    <w:p w14:paraId="20984A29" w14:textId="77777777" w:rsidR="008F200D" w:rsidRPr="00074E91" w:rsidRDefault="008F200D" w:rsidP="00074E91">
      <w:pPr>
        <w:rPr>
          <w:rFonts w:cs="Arial"/>
        </w:rPr>
      </w:pPr>
      <w:r w:rsidRPr="00074E91">
        <w:rPr>
          <w:rFonts w:cs="Arial"/>
        </w:rPr>
        <w:t xml:space="preserve">El E053 se alinea, según la matriz de claves presupuestales del Estado (LIPE 2024), al Eje “Bienestar Social Sostenible”, Función Educación / Subfunción Educación Superior y al objetivo de “Educación superior de calidad”. Esta vinculación explicita la contribución del Pp a los propósitos del PED 2022–2027, articulando políticas de calidad, pertinencia y evaluación educativa. </w:t>
      </w:r>
    </w:p>
    <w:p w14:paraId="0D61CFE1" w14:textId="77777777" w:rsidR="00043D65" w:rsidRPr="00074E91" w:rsidRDefault="00043D65" w:rsidP="00074E91">
      <w:pPr>
        <w:rPr>
          <w:rFonts w:cs="Arial"/>
          <w:lang w:val="es-ES"/>
        </w:rPr>
      </w:pPr>
      <w:r w:rsidRPr="00074E91">
        <w:rPr>
          <w:rFonts w:cs="Arial"/>
          <w:b/>
          <w:bCs/>
          <w:lang w:val="es-ES"/>
        </w:rPr>
        <w:t>Objetivo general y objetivos específicos</w:t>
      </w:r>
      <w:r w:rsidRPr="00074E91">
        <w:rPr>
          <w:rFonts w:cs="Arial"/>
          <w:lang w:val="es-ES"/>
        </w:rPr>
        <w:t xml:space="preserve">. </w:t>
      </w:r>
    </w:p>
    <w:p w14:paraId="74B3425C" w14:textId="77777777" w:rsidR="00074E91" w:rsidRPr="00074E91" w:rsidRDefault="00016578" w:rsidP="00074E91">
      <w:pPr>
        <w:spacing w:after="160" w:line="259" w:lineRule="auto"/>
        <w:ind w:firstLine="360"/>
        <w:rPr>
          <w:rFonts w:cs="Arial"/>
          <w:b/>
          <w:bCs/>
        </w:rPr>
      </w:pPr>
      <w:r w:rsidRPr="00074E91">
        <w:rPr>
          <w:rFonts w:cs="Arial"/>
          <w:b/>
          <w:bCs/>
        </w:rPr>
        <w:t xml:space="preserve">Objetivo general (síntesis para UTC dentro del E053): </w:t>
      </w:r>
    </w:p>
    <w:p w14:paraId="7C709B10" w14:textId="08566026" w:rsidR="00016578" w:rsidRPr="00074E91" w:rsidRDefault="00016578" w:rsidP="00074E91">
      <w:pPr>
        <w:ind w:left="360"/>
        <w:rPr>
          <w:rFonts w:cs="Arial"/>
        </w:rPr>
      </w:pPr>
      <w:r w:rsidRPr="00074E91">
        <w:rPr>
          <w:rFonts w:cs="Arial"/>
        </w:rPr>
        <w:t xml:space="preserve">Asegurar que la UTC preste servicios de educación superior y posgrado con calidad, pertinencia y enfoque BIS, fortaleciendo resultados académicos, equidad e inserción laboral, en concordancia con el PED y la normatividad aplicable. </w:t>
      </w:r>
    </w:p>
    <w:p w14:paraId="06F9BB16" w14:textId="77777777" w:rsidR="00016578" w:rsidRPr="00074E91" w:rsidRDefault="00016578" w:rsidP="00074E91">
      <w:pPr>
        <w:spacing w:after="160" w:line="259" w:lineRule="auto"/>
        <w:ind w:firstLine="360"/>
        <w:rPr>
          <w:rFonts w:cs="Arial"/>
        </w:rPr>
      </w:pPr>
      <w:r w:rsidRPr="00074E91">
        <w:rPr>
          <w:rFonts w:cs="Arial"/>
          <w:b/>
          <w:bCs/>
        </w:rPr>
        <w:t>Objetivos específicos:</w:t>
      </w:r>
    </w:p>
    <w:p w14:paraId="358B01A7" w14:textId="77777777" w:rsidR="00016578" w:rsidRPr="00074E91" w:rsidRDefault="00016578" w:rsidP="00074E91">
      <w:pPr>
        <w:pStyle w:val="Prrafodelista"/>
        <w:numPr>
          <w:ilvl w:val="0"/>
          <w:numId w:val="52"/>
        </w:numPr>
        <w:spacing w:line="360" w:lineRule="auto"/>
        <w:ind w:left="720"/>
        <w:rPr>
          <w:rFonts w:cs="Arial"/>
        </w:rPr>
      </w:pPr>
      <w:r w:rsidRPr="00074E91">
        <w:rPr>
          <w:rFonts w:cs="Arial"/>
        </w:rPr>
        <w:t>Incrementar cobertura y permanencia en TSU/Ingeniería/Posgrado con trayectorias cuatrimestrales y estadías.</w:t>
      </w:r>
    </w:p>
    <w:p w14:paraId="30CB2229" w14:textId="77777777" w:rsidR="00016578" w:rsidRPr="00074E91" w:rsidRDefault="00016578" w:rsidP="00074E91">
      <w:pPr>
        <w:pStyle w:val="Prrafodelista"/>
        <w:numPr>
          <w:ilvl w:val="0"/>
          <w:numId w:val="52"/>
        </w:numPr>
        <w:spacing w:line="360" w:lineRule="auto"/>
        <w:ind w:left="720"/>
        <w:rPr>
          <w:rFonts w:cs="Arial"/>
        </w:rPr>
      </w:pPr>
      <w:r w:rsidRPr="00074E91">
        <w:rPr>
          <w:rFonts w:cs="Arial"/>
        </w:rPr>
        <w:lastRenderedPageBreak/>
        <w:t xml:space="preserve">Elevar la calidad mediante evaluación, acreditación y mejora continua de programas. </w:t>
      </w:r>
    </w:p>
    <w:p w14:paraId="7BEA4519" w14:textId="77777777" w:rsidR="00016578" w:rsidRPr="00074E91" w:rsidRDefault="00016578" w:rsidP="00074E91">
      <w:pPr>
        <w:pStyle w:val="Prrafodelista"/>
        <w:numPr>
          <w:ilvl w:val="0"/>
          <w:numId w:val="52"/>
        </w:numPr>
        <w:spacing w:line="360" w:lineRule="auto"/>
        <w:ind w:left="720"/>
        <w:rPr>
          <w:rFonts w:cs="Arial"/>
        </w:rPr>
      </w:pPr>
      <w:r w:rsidRPr="00074E91">
        <w:rPr>
          <w:rFonts w:cs="Arial"/>
        </w:rPr>
        <w:t>Fortalecer competencias bilingües e internacionales del estudiantado conforme al modelo BIS.</w:t>
      </w:r>
    </w:p>
    <w:p w14:paraId="6569D7DA" w14:textId="77777777" w:rsidR="00016578" w:rsidRPr="00074E91" w:rsidRDefault="00016578" w:rsidP="00074E91">
      <w:pPr>
        <w:pStyle w:val="Prrafodelista"/>
        <w:numPr>
          <w:ilvl w:val="0"/>
          <w:numId w:val="52"/>
        </w:numPr>
        <w:spacing w:line="360" w:lineRule="auto"/>
        <w:ind w:left="720"/>
        <w:rPr>
          <w:rFonts w:cs="Arial"/>
        </w:rPr>
      </w:pPr>
      <w:r w:rsidRPr="00074E91">
        <w:rPr>
          <w:rFonts w:cs="Arial"/>
        </w:rPr>
        <w:t>Consolidar la vinculación con sectores productivos y sociales para prácticas, estadías y empleabilidad.</w:t>
      </w:r>
    </w:p>
    <w:p w14:paraId="288AA522" w14:textId="77777777" w:rsidR="00016578" w:rsidRPr="00074E91" w:rsidRDefault="00016578" w:rsidP="00074E91">
      <w:pPr>
        <w:pStyle w:val="Prrafodelista"/>
        <w:numPr>
          <w:ilvl w:val="0"/>
          <w:numId w:val="52"/>
        </w:numPr>
        <w:spacing w:line="360" w:lineRule="auto"/>
        <w:ind w:left="720"/>
        <w:rPr>
          <w:rFonts w:cs="Arial"/>
        </w:rPr>
      </w:pPr>
      <w:r w:rsidRPr="00074E91">
        <w:rPr>
          <w:rFonts w:cs="Arial"/>
        </w:rPr>
        <w:t>Impulsar la inclusión y la igualdad sustantiva en el acceso y la permanencia, conforme al marco estatal y federal.</w:t>
      </w:r>
    </w:p>
    <w:p w14:paraId="69EDC225" w14:textId="77777777" w:rsidR="00043D65" w:rsidRPr="00074E91" w:rsidRDefault="00043D65" w:rsidP="00074E91">
      <w:pPr>
        <w:rPr>
          <w:rFonts w:cs="Arial"/>
          <w:lang w:val="es-ES"/>
        </w:rPr>
      </w:pPr>
      <w:r w:rsidRPr="00074E91">
        <w:rPr>
          <w:rFonts w:cs="Arial"/>
          <w:b/>
          <w:bCs/>
          <w:lang w:val="es-ES"/>
        </w:rPr>
        <w:t>Descripción de los bienes y/o servicios que otorga</w:t>
      </w:r>
      <w:r w:rsidRPr="00074E91">
        <w:rPr>
          <w:rFonts w:cs="Arial"/>
          <w:lang w:val="es-ES"/>
        </w:rPr>
        <w:t>.</w:t>
      </w:r>
    </w:p>
    <w:p w14:paraId="613DF981" w14:textId="77777777" w:rsidR="008F200D" w:rsidRPr="00074E91" w:rsidRDefault="008F200D" w:rsidP="00074E91">
      <w:pPr>
        <w:rPr>
          <w:rFonts w:cs="Arial"/>
          <w:highlight w:val="yellow"/>
          <w:lang w:val="es-ES"/>
        </w:rPr>
      </w:pPr>
      <w:r w:rsidRPr="00074E91">
        <w:rPr>
          <w:rFonts w:cs="Arial"/>
        </w:rPr>
        <w:t>El Pp, en su ejecución por la UTC, ofrece servicios educativos de nivel TSU y de Ingeniería/Licenciatura, que incluyen docencia por competencias, estadías profesionales, servicios de tutoría y acompañamiento académico, formación bilingüe y oportunidades de movilidad/experiencias internacionales consistentes con el modelo BIS. También comprende servicios de vinculación (convenios, proyectos y bolsa de trabajo), extensión y difusión.</w:t>
      </w:r>
    </w:p>
    <w:p w14:paraId="2199B191" w14:textId="77777777" w:rsidR="00043D65" w:rsidRPr="00074E91" w:rsidRDefault="00043D65" w:rsidP="00074E91">
      <w:pPr>
        <w:rPr>
          <w:rFonts w:cs="Arial"/>
          <w:lang w:val="es-ES"/>
        </w:rPr>
      </w:pPr>
      <w:r w:rsidRPr="00074E91">
        <w:rPr>
          <w:rFonts w:cs="Arial"/>
          <w:b/>
          <w:bCs/>
          <w:lang w:val="es-ES"/>
        </w:rPr>
        <w:t>Identificación de las poblaciones potencial y objetivo</w:t>
      </w:r>
      <w:r w:rsidRPr="00074E91">
        <w:rPr>
          <w:rFonts w:cs="Arial"/>
          <w:lang w:val="es-ES"/>
        </w:rPr>
        <w:t>.</w:t>
      </w:r>
    </w:p>
    <w:p w14:paraId="203DCA24" w14:textId="77777777" w:rsidR="00016578" w:rsidRPr="00074E91" w:rsidRDefault="00016578" w:rsidP="00074E91">
      <w:pPr>
        <w:spacing w:after="160"/>
        <w:ind w:firstLine="360"/>
        <w:rPr>
          <w:rFonts w:cs="Arial"/>
        </w:rPr>
      </w:pPr>
      <w:r w:rsidRPr="00074E91">
        <w:rPr>
          <w:rFonts w:cs="Arial"/>
          <w:b/>
          <w:bCs/>
        </w:rPr>
        <w:t>Definición operativa:</w:t>
      </w:r>
    </w:p>
    <w:p w14:paraId="7D807EF9" w14:textId="77777777" w:rsidR="00016578" w:rsidRPr="00074E91" w:rsidRDefault="00016578" w:rsidP="00074E91">
      <w:pPr>
        <w:numPr>
          <w:ilvl w:val="0"/>
          <w:numId w:val="50"/>
        </w:numPr>
        <w:spacing w:after="160"/>
        <w:rPr>
          <w:rFonts w:cs="Arial"/>
        </w:rPr>
      </w:pPr>
      <w:r w:rsidRPr="00074E91">
        <w:rPr>
          <w:rFonts w:cs="Arial"/>
          <w:b/>
          <w:bCs/>
        </w:rPr>
        <w:t>Población potencial:</w:t>
      </w:r>
      <w:r w:rsidRPr="00074E91">
        <w:rPr>
          <w:rFonts w:cs="Arial"/>
        </w:rPr>
        <w:t xml:space="preserve"> universo de personas que reúnen las características para beneficiarse del Pp (jóvenes que cursan/egresan EMS en el área de influencia estatal/municipal y que pueden ingresar a TSU/Ingeniería).</w:t>
      </w:r>
    </w:p>
    <w:p w14:paraId="459403A1" w14:textId="77777777" w:rsidR="00016578" w:rsidRPr="00074E91" w:rsidRDefault="00016578" w:rsidP="00074E91">
      <w:pPr>
        <w:numPr>
          <w:ilvl w:val="0"/>
          <w:numId w:val="50"/>
        </w:numPr>
        <w:spacing w:after="160"/>
        <w:rPr>
          <w:rFonts w:cs="Arial"/>
        </w:rPr>
      </w:pPr>
      <w:r w:rsidRPr="00074E91">
        <w:rPr>
          <w:rFonts w:cs="Arial"/>
          <w:b/>
          <w:bCs/>
        </w:rPr>
        <w:t>Población objetivo:</w:t>
      </w:r>
      <w:r w:rsidRPr="00074E91">
        <w:rPr>
          <w:rFonts w:cs="Arial"/>
        </w:rPr>
        <w:t xml:space="preserve"> beneficiarias/os directos que el Pp atiende efectivamente a través de la UTC (matrícula atendida).</w:t>
      </w:r>
    </w:p>
    <w:p w14:paraId="5A5C03FD" w14:textId="77777777" w:rsidR="00016578" w:rsidRPr="00074E91" w:rsidRDefault="00016578" w:rsidP="00074E91">
      <w:pPr>
        <w:spacing w:after="160"/>
        <w:ind w:firstLine="360"/>
        <w:rPr>
          <w:rFonts w:cs="Arial"/>
        </w:rPr>
      </w:pPr>
      <w:r w:rsidRPr="00074E91">
        <w:rPr>
          <w:rFonts w:cs="Arial"/>
          <w:b/>
          <w:bCs/>
        </w:rPr>
        <w:t>Cuantificación – Población potencial (Sinaloa, 2022–2023):</w:t>
      </w:r>
    </w:p>
    <w:p w14:paraId="5A96F350" w14:textId="77777777" w:rsidR="00074E91" w:rsidRPr="001B4485" w:rsidRDefault="00016578" w:rsidP="00074E91">
      <w:pPr>
        <w:numPr>
          <w:ilvl w:val="0"/>
          <w:numId w:val="51"/>
        </w:numPr>
        <w:spacing w:after="160"/>
        <w:rPr>
          <w:rFonts w:cs="Arial"/>
        </w:rPr>
      </w:pPr>
      <w:r w:rsidRPr="001B4485">
        <w:rPr>
          <w:rFonts w:cs="Arial"/>
        </w:rPr>
        <w:t xml:space="preserve">Educación Media Superior (EMS) total en Sinaloa: 148,102 estudiantes (modalidad escolarizada y no escolarizada). </w:t>
      </w:r>
    </w:p>
    <w:p w14:paraId="1711EC36" w14:textId="6FFD118B" w:rsidR="00016578" w:rsidRPr="00074E91" w:rsidRDefault="00016578" w:rsidP="00074E91">
      <w:pPr>
        <w:tabs>
          <w:tab w:val="num" w:pos="720"/>
        </w:tabs>
        <w:spacing w:after="160"/>
        <w:ind w:firstLine="360"/>
        <w:rPr>
          <w:rFonts w:cs="Arial"/>
          <w:b/>
          <w:bCs/>
        </w:rPr>
      </w:pPr>
      <w:r w:rsidRPr="00074E91">
        <w:rPr>
          <w:rFonts w:cs="Arial"/>
          <w:b/>
          <w:bCs/>
        </w:rPr>
        <w:t>Cuantificación – Población objetivo (UTC, matrícula atendida)</w:t>
      </w:r>
    </w:p>
    <w:p w14:paraId="259F8B4A" w14:textId="77777777" w:rsidR="00016578" w:rsidRPr="00074E91" w:rsidRDefault="00016578" w:rsidP="00074E91">
      <w:pPr>
        <w:numPr>
          <w:ilvl w:val="0"/>
          <w:numId w:val="51"/>
        </w:numPr>
        <w:spacing w:after="160"/>
        <w:rPr>
          <w:rFonts w:cs="Arial"/>
        </w:rPr>
      </w:pPr>
      <w:r w:rsidRPr="00074E91">
        <w:rPr>
          <w:rFonts w:cs="Arial"/>
        </w:rPr>
        <w:t>2° trimestre 2023 (SEP, art. 37 PEF): 399 estudiantes (TSU: 280; Ingeniería/Licenciatura: 119; Posgrado: 0).</w:t>
      </w:r>
    </w:p>
    <w:p w14:paraId="09218099" w14:textId="1593B3D6" w:rsidR="008F200D" w:rsidRPr="00074E91" w:rsidRDefault="00043D65" w:rsidP="00074E91">
      <w:pPr>
        <w:rPr>
          <w:rFonts w:cs="Arial"/>
          <w:b/>
          <w:bCs/>
          <w:lang w:val="es-ES"/>
        </w:rPr>
      </w:pPr>
      <w:r w:rsidRPr="00074E91">
        <w:rPr>
          <w:rFonts w:cs="Arial"/>
          <w:b/>
          <w:bCs/>
          <w:lang w:val="es-ES"/>
        </w:rPr>
        <w:t xml:space="preserve">Presupuesto </w:t>
      </w:r>
    </w:p>
    <w:tbl>
      <w:tblPr>
        <w:tblStyle w:val="Tablaconcuadrcula"/>
        <w:tblW w:w="0" w:type="auto"/>
        <w:tblInd w:w="1526" w:type="dxa"/>
        <w:tblLook w:val="04A0" w:firstRow="1" w:lastRow="0" w:firstColumn="1" w:lastColumn="0" w:noHBand="0" w:noVBand="1"/>
      </w:tblPr>
      <w:tblGrid>
        <w:gridCol w:w="3055"/>
        <w:gridCol w:w="3607"/>
      </w:tblGrid>
      <w:tr w:rsidR="008D64C2" w:rsidRPr="00074E91" w14:paraId="2CDA9C8E" w14:textId="77777777" w:rsidTr="001B4485">
        <w:trPr>
          <w:trHeight w:val="454"/>
        </w:trPr>
        <w:tc>
          <w:tcPr>
            <w:tcW w:w="3055" w:type="dxa"/>
            <w:shd w:val="clear" w:color="auto" w:fill="D9D9D9" w:themeFill="background1" w:themeFillShade="D9"/>
            <w:vAlign w:val="center"/>
          </w:tcPr>
          <w:p w14:paraId="30EF6B7E" w14:textId="39087AD5" w:rsidR="008D64C2" w:rsidRPr="00074E91" w:rsidRDefault="00344C3A" w:rsidP="001B4485">
            <w:pPr>
              <w:spacing w:line="240" w:lineRule="auto"/>
              <w:jc w:val="center"/>
              <w:rPr>
                <w:rFonts w:cs="Arial"/>
                <w:b/>
                <w:bCs/>
                <w:lang w:val="es-ES"/>
              </w:rPr>
            </w:pPr>
            <w:r w:rsidRPr="00074E91">
              <w:rPr>
                <w:rFonts w:cs="Arial"/>
                <w:b/>
                <w:bCs/>
                <w:lang w:val="es-ES"/>
              </w:rPr>
              <w:t>Ejercicio fiscal</w:t>
            </w:r>
          </w:p>
        </w:tc>
        <w:tc>
          <w:tcPr>
            <w:tcW w:w="3607" w:type="dxa"/>
            <w:shd w:val="clear" w:color="auto" w:fill="D9D9D9" w:themeFill="background1" w:themeFillShade="D9"/>
            <w:vAlign w:val="center"/>
          </w:tcPr>
          <w:p w14:paraId="6BFB9045" w14:textId="052E14A6" w:rsidR="008D64C2" w:rsidRPr="00074E91" w:rsidRDefault="008D64C2" w:rsidP="001B4485">
            <w:pPr>
              <w:spacing w:line="240" w:lineRule="auto"/>
              <w:jc w:val="center"/>
              <w:rPr>
                <w:rFonts w:cs="Arial"/>
                <w:b/>
                <w:bCs/>
                <w:lang w:val="es-ES"/>
              </w:rPr>
            </w:pPr>
            <w:r w:rsidRPr="00074E91">
              <w:rPr>
                <w:rFonts w:cs="Arial"/>
                <w:b/>
                <w:bCs/>
                <w:lang w:val="es-ES"/>
              </w:rPr>
              <w:t>Presupuesto aprobado (monto)</w:t>
            </w:r>
          </w:p>
        </w:tc>
      </w:tr>
      <w:tr w:rsidR="008D64C2" w:rsidRPr="00074E91" w14:paraId="4B5E9AF4" w14:textId="77777777" w:rsidTr="001B4485">
        <w:trPr>
          <w:trHeight w:val="283"/>
        </w:trPr>
        <w:tc>
          <w:tcPr>
            <w:tcW w:w="3055" w:type="dxa"/>
            <w:vAlign w:val="center"/>
          </w:tcPr>
          <w:p w14:paraId="59B4C63B" w14:textId="0870354D" w:rsidR="008D64C2" w:rsidRPr="00074E91" w:rsidRDefault="00344C3A" w:rsidP="001B4485">
            <w:pPr>
              <w:spacing w:line="240" w:lineRule="auto"/>
              <w:jc w:val="center"/>
              <w:rPr>
                <w:rFonts w:cs="Arial"/>
                <w:lang w:val="es-ES"/>
              </w:rPr>
            </w:pPr>
            <w:r w:rsidRPr="00074E91">
              <w:rPr>
                <w:rFonts w:cs="Arial"/>
                <w:lang w:val="es-ES"/>
              </w:rPr>
              <w:t>2022</w:t>
            </w:r>
          </w:p>
        </w:tc>
        <w:tc>
          <w:tcPr>
            <w:tcW w:w="3607" w:type="dxa"/>
            <w:vAlign w:val="center"/>
          </w:tcPr>
          <w:p w14:paraId="0725ACB0" w14:textId="0B55AC72" w:rsidR="008D64C2" w:rsidRPr="00074E91" w:rsidRDefault="0009703A" w:rsidP="001B4485">
            <w:pPr>
              <w:spacing w:line="240" w:lineRule="auto"/>
              <w:jc w:val="center"/>
              <w:rPr>
                <w:rFonts w:cs="Arial"/>
                <w:lang w:val="es-ES"/>
              </w:rPr>
            </w:pPr>
            <w:r w:rsidRPr="00074E91">
              <w:rPr>
                <w:rFonts w:cs="Arial"/>
                <w:lang w:val="es-ES"/>
              </w:rPr>
              <w:t>$</w:t>
            </w:r>
            <w:r w:rsidR="00002CEB" w:rsidRPr="00074E91">
              <w:rPr>
                <w:rFonts w:cs="Arial"/>
                <w:lang w:val="es-ES"/>
              </w:rPr>
              <w:t xml:space="preserve"> 24,672,491.00</w:t>
            </w:r>
          </w:p>
        </w:tc>
      </w:tr>
      <w:tr w:rsidR="008D64C2" w:rsidRPr="00074E91" w14:paraId="575717E5" w14:textId="77777777" w:rsidTr="001B4485">
        <w:trPr>
          <w:trHeight w:val="283"/>
        </w:trPr>
        <w:tc>
          <w:tcPr>
            <w:tcW w:w="3055" w:type="dxa"/>
            <w:vAlign w:val="center"/>
          </w:tcPr>
          <w:p w14:paraId="076B5344" w14:textId="771AD325" w:rsidR="008D64C2" w:rsidRPr="00074E91" w:rsidRDefault="00344C3A" w:rsidP="001B4485">
            <w:pPr>
              <w:spacing w:line="240" w:lineRule="auto"/>
              <w:jc w:val="center"/>
              <w:rPr>
                <w:rFonts w:cs="Arial"/>
                <w:lang w:val="es-ES"/>
              </w:rPr>
            </w:pPr>
            <w:r w:rsidRPr="00074E91">
              <w:rPr>
                <w:rFonts w:cs="Arial"/>
                <w:lang w:val="es-ES"/>
              </w:rPr>
              <w:t>2023</w:t>
            </w:r>
          </w:p>
        </w:tc>
        <w:tc>
          <w:tcPr>
            <w:tcW w:w="3607" w:type="dxa"/>
            <w:vAlign w:val="center"/>
          </w:tcPr>
          <w:p w14:paraId="3B661C43" w14:textId="187FD7AB" w:rsidR="008D64C2" w:rsidRPr="00074E91" w:rsidRDefault="0009703A" w:rsidP="001B4485">
            <w:pPr>
              <w:spacing w:line="240" w:lineRule="auto"/>
              <w:jc w:val="center"/>
              <w:rPr>
                <w:rFonts w:cs="Arial"/>
                <w:lang w:val="es-ES"/>
              </w:rPr>
            </w:pPr>
            <w:r w:rsidRPr="00074E91">
              <w:rPr>
                <w:rFonts w:cs="Arial"/>
                <w:lang w:val="es-ES"/>
              </w:rPr>
              <w:t>$</w:t>
            </w:r>
            <w:r w:rsidR="00002CEB" w:rsidRPr="00074E91">
              <w:rPr>
                <w:rFonts w:cs="Arial"/>
                <w:lang w:val="es-ES"/>
              </w:rPr>
              <w:t xml:space="preserve"> 25,660,353.00</w:t>
            </w:r>
          </w:p>
        </w:tc>
      </w:tr>
      <w:tr w:rsidR="008D64C2" w:rsidRPr="00074E91" w14:paraId="6122C162" w14:textId="77777777" w:rsidTr="001B4485">
        <w:trPr>
          <w:trHeight w:val="283"/>
        </w:trPr>
        <w:tc>
          <w:tcPr>
            <w:tcW w:w="3055" w:type="dxa"/>
            <w:vAlign w:val="center"/>
          </w:tcPr>
          <w:p w14:paraId="433C9910" w14:textId="1727C51D" w:rsidR="008D64C2" w:rsidRPr="00074E91" w:rsidRDefault="00344C3A" w:rsidP="001B4485">
            <w:pPr>
              <w:spacing w:line="240" w:lineRule="auto"/>
              <w:jc w:val="center"/>
              <w:rPr>
                <w:rFonts w:cs="Arial"/>
                <w:lang w:val="es-ES"/>
              </w:rPr>
            </w:pPr>
            <w:r w:rsidRPr="00074E91">
              <w:rPr>
                <w:rFonts w:cs="Arial"/>
                <w:lang w:val="es-ES"/>
              </w:rPr>
              <w:t>2024</w:t>
            </w:r>
          </w:p>
        </w:tc>
        <w:tc>
          <w:tcPr>
            <w:tcW w:w="3607" w:type="dxa"/>
            <w:vAlign w:val="center"/>
          </w:tcPr>
          <w:p w14:paraId="06C8D1BC" w14:textId="66F55BD3" w:rsidR="008D64C2" w:rsidRPr="00074E91" w:rsidRDefault="0009703A" w:rsidP="001B4485">
            <w:pPr>
              <w:spacing w:line="240" w:lineRule="auto"/>
              <w:jc w:val="center"/>
              <w:rPr>
                <w:rFonts w:cs="Arial"/>
                <w:lang w:val="es-ES"/>
              </w:rPr>
            </w:pPr>
            <w:r w:rsidRPr="00074E91">
              <w:rPr>
                <w:rFonts w:cs="Arial"/>
                <w:lang w:val="es-ES"/>
              </w:rPr>
              <w:t>$</w:t>
            </w:r>
            <w:r w:rsidR="00002CEB" w:rsidRPr="00074E91">
              <w:rPr>
                <w:rFonts w:cs="Arial"/>
                <w:lang w:val="es-ES"/>
              </w:rPr>
              <w:t xml:space="preserve"> 26,830,481.00</w:t>
            </w:r>
          </w:p>
        </w:tc>
      </w:tr>
    </w:tbl>
    <w:p w14:paraId="4FD468E2" w14:textId="64A8163C" w:rsidR="00854757" w:rsidRPr="00074E91" w:rsidRDefault="00854757" w:rsidP="00854757">
      <w:pPr>
        <w:rPr>
          <w:rFonts w:cs="Arial"/>
          <w:lang w:val="es-ES"/>
        </w:rPr>
      </w:pPr>
      <w:r w:rsidRPr="00074E91">
        <w:rPr>
          <w:rFonts w:cs="Arial"/>
          <w:lang w:val="es-ES"/>
        </w:rPr>
        <w:lastRenderedPageBreak/>
        <w:t>Como dato general, la MIR del Pp de la UTC para el ejercicio a evaluar fue elaborada por la UR de manera interna, como un primer ejercicio de articulación del diseño del Programa con la metodología de Matriz de Indicadores para Resultados. Si bien su institucionalización en los instrumentos institucionales y presupuestarios se concreta hasta el ejercicio 2025, este documento representa un avance relevante en la definición de objetivos, indicadores y medios de verificación, y sienta las bases para fortalecer el diseño y el seguimiento del desempeño del Pp en los periodos subsecuentes.</w:t>
      </w:r>
    </w:p>
    <w:tbl>
      <w:tblPr>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60"/>
        <w:gridCol w:w="2977"/>
        <w:gridCol w:w="3417"/>
      </w:tblGrid>
      <w:tr w:rsidR="00043D65" w:rsidRPr="00074E91" w14:paraId="00C55571" w14:textId="77777777" w:rsidTr="001B4485">
        <w:trPr>
          <w:trHeight w:val="639"/>
          <w:tblHeader/>
          <w:jc w:val="center"/>
        </w:trPr>
        <w:tc>
          <w:tcPr>
            <w:tcW w:w="1469" w:type="pct"/>
            <w:shd w:val="clear" w:color="auto" w:fill="404040" w:themeFill="text1" w:themeFillTint="BF"/>
            <w:vAlign w:val="center"/>
          </w:tcPr>
          <w:p w14:paraId="291E3DD4" w14:textId="77777777" w:rsidR="00043D65" w:rsidRPr="00074E91" w:rsidRDefault="00043D65" w:rsidP="00854757">
            <w:pPr>
              <w:spacing w:after="0" w:line="240" w:lineRule="auto"/>
              <w:jc w:val="center"/>
              <w:rPr>
                <w:rFonts w:cs="Arial"/>
                <w:b/>
                <w:color w:val="FFFFFF" w:themeColor="background1"/>
                <w:szCs w:val="20"/>
              </w:rPr>
            </w:pPr>
            <w:r w:rsidRPr="00074E91">
              <w:rPr>
                <w:rFonts w:cs="Arial"/>
                <w:b/>
                <w:color w:val="FFFFFF" w:themeColor="background1"/>
                <w:szCs w:val="20"/>
              </w:rPr>
              <w:t>Resumen narrativo</w:t>
            </w:r>
          </w:p>
        </w:tc>
        <w:tc>
          <w:tcPr>
            <w:tcW w:w="1644" w:type="pct"/>
            <w:shd w:val="clear" w:color="auto" w:fill="404040" w:themeFill="text1" w:themeFillTint="BF"/>
            <w:vAlign w:val="center"/>
          </w:tcPr>
          <w:p w14:paraId="0836B2E1" w14:textId="77777777" w:rsidR="00043D65" w:rsidRPr="00074E91" w:rsidRDefault="00043D65" w:rsidP="00854757">
            <w:pPr>
              <w:spacing w:after="0" w:line="240" w:lineRule="auto"/>
              <w:jc w:val="center"/>
              <w:rPr>
                <w:rFonts w:cs="Arial"/>
                <w:b/>
                <w:color w:val="FFFFFF" w:themeColor="background1"/>
                <w:szCs w:val="20"/>
              </w:rPr>
            </w:pPr>
            <w:r w:rsidRPr="00074E91">
              <w:rPr>
                <w:rFonts w:cs="Arial"/>
                <w:b/>
                <w:color w:val="FFFFFF" w:themeColor="background1"/>
                <w:szCs w:val="20"/>
              </w:rPr>
              <w:t>Nombre indicador</w:t>
            </w:r>
          </w:p>
        </w:tc>
        <w:tc>
          <w:tcPr>
            <w:tcW w:w="1887" w:type="pct"/>
            <w:shd w:val="clear" w:color="auto" w:fill="404040" w:themeFill="text1" w:themeFillTint="BF"/>
            <w:vAlign w:val="center"/>
          </w:tcPr>
          <w:p w14:paraId="35791271" w14:textId="77777777" w:rsidR="00043D65" w:rsidRPr="00074E91" w:rsidRDefault="00043D65" w:rsidP="00854757">
            <w:pPr>
              <w:spacing w:after="0" w:line="240" w:lineRule="auto"/>
              <w:jc w:val="center"/>
              <w:rPr>
                <w:rFonts w:cs="Arial"/>
                <w:b/>
                <w:color w:val="FFFFFF" w:themeColor="background1"/>
                <w:szCs w:val="20"/>
              </w:rPr>
            </w:pPr>
            <w:r w:rsidRPr="00074E91">
              <w:rPr>
                <w:rFonts w:cs="Arial"/>
                <w:b/>
                <w:color w:val="FFFFFF" w:themeColor="background1"/>
                <w:szCs w:val="20"/>
              </w:rPr>
              <w:t>Definición</w:t>
            </w:r>
          </w:p>
        </w:tc>
      </w:tr>
      <w:tr w:rsidR="00854757" w:rsidRPr="00074E91" w14:paraId="375C8D89" w14:textId="77777777" w:rsidTr="001B4485">
        <w:trPr>
          <w:trHeight w:val="1839"/>
          <w:jc w:val="center"/>
        </w:trPr>
        <w:tc>
          <w:tcPr>
            <w:tcW w:w="1469" w:type="pct"/>
            <w:vMerge w:val="restart"/>
            <w:vAlign w:val="center"/>
          </w:tcPr>
          <w:p w14:paraId="2D6B821B" w14:textId="2BF9D4AC" w:rsidR="00854757" w:rsidRPr="00074E91" w:rsidRDefault="00854757" w:rsidP="001B4485">
            <w:pPr>
              <w:spacing w:after="0" w:line="240" w:lineRule="auto"/>
              <w:rPr>
                <w:rFonts w:cs="Arial"/>
                <w:szCs w:val="20"/>
              </w:rPr>
            </w:pPr>
            <w:r w:rsidRPr="00074E91">
              <w:rPr>
                <w:rFonts w:cs="Arial"/>
                <w:szCs w:val="20"/>
              </w:rPr>
              <w:t>Contribuir a incrementar el nivel educativo de los sinaloenses mediante la oferta de programas educativos de nivel superior a los egresados del bachillerato</w:t>
            </w:r>
          </w:p>
        </w:tc>
        <w:tc>
          <w:tcPr>
            <w:tcW w:w="1644" w:type="pct"/>
            <w:vAlign w:val="center"/>
          </w:tcPr>
          <w:p w14:paraId="106B062D" w14:textId="2A609890" w:rsidR="00854757" w:rsidRPr="00074E91" w:rsidRDefault="00854757" w:rsidP="001B4485">
            <w:pPr>
              <w:spacing w:after="0" w:line="240" w:lineRule="auto"/>
              <w:rPr>
                <w:rFonts w:cs="Arial"/>
                <w:szCs w:val="20"/>
              </w:rPr>
            </w:pPr>
            <w:r w:rsidRPr="00074E91">
              <w:rPr>
                <w:rFonts w:cs="Arial"/>
                <w:szCs w:val="20"/>
              </w:rPr>
              <w:t>Tasa de variación de la esperanza de escolaridad en Sinaloa</w:t>
            </w:r>
          </w:p>
        </w:tc>
        <w:tc>
          <w:tcPr>
            <w:tcW w:w="1887" w:type="pct"/>
            <w:vAlign w:val="center"/>
          </w:tcPr>
          <w:p w14:paraId="74D8AC72" w14:textId="56C98A21" w:rsidR="00854757" w:rsidRPr="00074E91" w:rsidRDefault="00854757" w:rsidP="001B4485">
            <w:pPr>
              <w:spacing w:after="0" w:line="240" w:lineRule="auto"/>
              <w:rPr>
                <w:rFonts w:cs="Arial"/>
                <w:szCs w:val="20"/>
              </w:rPr>
            </w:pPr>
            <w:r w:rsidRPr="00074E91">
              <w:rPr>
                <w:rFonts w:cs="Arial"/>
                <w:szCs w:val="20"/>
              </w:rPr>
              <w:t>Mide el cambio porcentual de la esperanza de escolaridad en el estado de Sinaloa entre dos ciclos escolares consecutivos, con base en la diferencia entre la esperanza de escolaridad del ciclo actual y la del ciclo inmediato anterior.</w:t>
            </w:r>
          </w:p>
        </w:tc>
      </w:tr>
      <w:tr w:rsidR="00854757" w:rsidRPr="00074E91" w14:paraId="3FF82120" w14:textId="77777777" w:rsidTr="001B4485">
        <w:trPr>
          <w:trHeight w:val="1540"/>
          <w:jc w:val="center"/>
        </w:trPr>
        <w:tc>
          <w:tcPr>
            <w:tcW w:w="1469" w:type="pct"/>
            <w:vMerge/>
            <w:vAlign w:val="center"/>
          </w:tcPr>
          <w:p w14:paraId="74AE833A" w14:textId="03239081" w:rsidR="00854757" w:rsidRPr="00074E91" w:rsidRDefault="00854757" w:rsidP="001B4485">
            <w:pPr>
              <w:spacing w:after="0" w:line="240" w:lineRule="auto"/>
              <w:rPr>
                <w:rFonts w:cs="Arial"/>
                <w:szCs w:val="20"/>
              </w:rPr>
            </w:pPr>
          </w:p>
        </w:tc>
        <w:tc>
          <w:tcPr>
            <w:tcW w:w="1644" w:type="pct"/>
            <w:vAlign w:val="center"/>
          </w:tcPr>
          <w:p w14:paraId="65ED4CB1" w14:textId="790D1962" w:rsidR="00854757" w:rsidRPr="00074E91" w:rsidRDefault="00854757" w:rsidP="001B4485">
            <w:pPr>
              <w:spacing w:after="0" w:line="240" w:lineRule="auto"/>
              <w:rPr>
                <w:rFonts w:cs="Arial"/>
                <w:szCs w:val="20"/>
              </w:rPr>
            </w:pPr>
            <w:r w:rsidRPr="00074E91">
              <w:rPr>
                <w:rFonts w:cs="Arial"/>
                <w:szCs w:val="20"/>
              </w:rPr>
              <w:t>Grado promedio de escolaridad de la población de 15 y más años en Sinaloa</w:t>
            </w:r>
          </w:p>
        </w:tc>
        <w:tc>
          <w:tcPr>
            <w:tcW w:w="1887" w:type="pct"/>
            <w:vAlign w:val="center"/>
          </w:tcPr>
          <w:p w14:paraId="5BA40F9F" w14:textId="0693C688" w:rsidR="00854757" w:rsidRPr="00074E91" w:rsidRDefault="00854757" w:rsidP="001B4485">
            <w:pPr>
              <w:spacing w:after="0" w:line="240" w:lineRule="auto"/>
              <w:rPr>
                <w:rFonts w:cs="Arial"/>
                <w:szCs w:val="20"/>
              </w:rPr>
            </w:pPr>
            <w:r w:rsidRPr="00074E91">
              <w:rPr>
                <w:rFonts w:cs="Arial"/>
                <w:szCs w:val="20"/>
              </w:rPr>
              <w:t>Resulta de dividir la suma de los años aprobados desde el primero de primaria hasta el último grado alcanzado de las personas de 15 años y más, entre el total de la población de 15 años y más.</w:t>
            </w:r>
          </w:p>
        </w:tc>
      </w:tr>
      <w:tr w:rsidR="00854757" w:rsidRPr="00074E91" w14:paraId="222CBC6B" w14:textId="77777777" w:rsidTr="001B4485">
        <w:trPr>
          <w:trHeight w:val="2397"/>
          <w:jc w:val="center"/>
        </w:trPr>
        <w:tc>
          <w:tcPr>
            <w:tcW w:w="1469" w:type="pct"/>
            <w:vAlign w:val="center"/>
          </w:tcPr>
          <w:p w14:paraId="1DC1FED2" w14:textId="6E3401AE" w:rsidR="00854757" w:rsidRPr="00074E91" w:rsidRDefault="00854757" w:rsidP="001B4485">
            <w:pPr>
              <w:spacing w:after="0" w:line="240" w:lineRule="auto"/>
              <w:rPr>
                <w:rFonts w:cs="Arial"/>
                <w:szCs w:val="20"/>
              </w:rPr>
            </w:pPr>
            <w:r w:rsidRPr="00074E91">
              <w:rPr>
                <w:rFonts w:cs="Arial"/>
                <w:szCs w:val="20"/>
              </w:rPr>
              <w:t>Los habitantes del estado de Sinaloa egresados de Educación Media Superior cursan programas de educación superior técnica y profesional de calidad con capital humano de excelencia y vinculación con los sectores productivo y social</w:t>
            </w:r>
          </w:p>
        </w:tc>
        <w:tc>
          <w:tcPr>
            <w:tcW w:w="1644" w:type="pct"/>
            <w:vAlign w:val="center"/>
          </w:tcPr>
          <w:p w14:paraId="3659889E" w14:textId="5C316BD7" w:rsidR="00854757" w:rsidRPr="00074E91" w:rsidRDefault="00854757" w:rsidP="001B4485">
            <w:pPr>
              <w:spacing w:after="0" w:line="240" w:lineRule="auto"/>
              <w:rPr>
                <w:rFonts w:cs="Arial"/>
                <w:szCs w:val="20"/>
              </w:rPr>
            </w:pPr>
            <w:r w:rsidRPr="00074E91">
              <w:rPr>
                <w:rFonts w:cs="Arial"/>
                <w:szCs w:val="20"/>
              </w:rPr>
              <w:t>Porcentaje de matrícula de educación superior que logra la UTC</w:t>
            </w:r>
          </w:p>
        </w:tc>
        <w:tc>
          <w:tcPr>
            <w:tcW w:w="1887" w:type="pct"/>
            <w:vAlign w:val="center"/>
          </w:tcPr>
          <w:p w14:paraId="23DAF66F" w14:textId="6F030C37" w:rsidR="00854757" w:rsidRPr="00074E91" w:rsidRDefault="00854757" w:rsidP="001B4485">
            <w:pPr>
              <w:spacing w:after="0" w:line="240" w:lineRule="auto"/>
              <w:rPr>
                <w:rFonts w:cs="Arial"/>
                <w:szCs w:val="20"/>
              </w:rPr>
            </w:pPr>
            <w:r w:rsidRPr="00074E91">
              <w:rPr>
                <w:rFonts w:cs="Arial"/>
                <w:szCs w:val="20"/>
              </w:rPr>
              <w:t>Indica la proporción que representa la matrícula de la Universidad Tecnológica de Culiacán respecto de la matrícula total de educación superior en el estado de Sinaloa, expresada como porcentaje.</w:t>
            </w:r>
          </w:p>
        </w:tc>
      </w:tr>
      <w:tr w:rsidR="00854757" w:rsidRPr="00074E91" w14:paraId="6FE06F82" w14:textId="77777777" w:rsidTr="001B4485">
        <w:trPr>
          <w:trHeight w:val="1837"/>
          <w:jc w:val="center"/>
        </w:trPr>
        <w:tc>
          <w:tcPr>
            <w:tcW w:w="1469" w:type="pct"/>
            <w:vMerge w:val="restart"/>
            <w:vAlign w:val="center"/>
          </w:tcPr>
          <w:p w14:paraId="6C0853A6" w14:textId="62F89682" w:rsidR="00854757" w:rsidRPr="00074E91" w:rsidRDefault="00854757" w:rsidP="001B4485">
            <w:pPr>
              <w:spacing w:after="0" w:line="240" w:lineRule="auto"/>
              <w:rPr>
                <w:rFonts w:cs="Arial"/>
                <w:szCs w:val="20"/>
              </w:rPr>
            </w:pPr>
            <w:r w:rsidRPr="00074E91">
              <w:rPr>
                <w:rFonts w:cs="Arial"/>
                <w:szCs w:val="20"/>
              </w:rPr>
              <w:t>Programas educativos acorde con las necesidades y vocación productiva local ofrecidos</w:t>
            </w:r>
          </w:p>
        </w:tc>
        <w:tc>
          <w:tcPr>
            <w:tcW w:w="1644" w:type="pct"/>
            <w:vAlign w:val="center"/>
          </w:tcPr>
          <w:p w14:paraId="167DF082" w14:textId="75B2F53B" w:rsidR="00854757" w:rsidRPr="00074E91" w:rsidRDefault="00854757" w:rsidP="001B4485">
            <w:pPr>
              <w:spacing w:after="0" w:line="240" w:lineRule="auto"/>
              <w:rPr>
                <w:rFonts w:cs="Arial"/>
                <w:szCs w:val="20"/>
              </w:rPr>
            </w:pPr>
            <w:r w:rsidRPr="00074E91">
              <w:rPr>
                <w:rFonts w:cs="Arial"/>
                <w:szCs w:val="20"/>
              </w:rPr>
              <w:t>Porcentaje de programas educativos ofertados</w:t>
            </w:r>
          </w:p>
        </w:tc>
        <w:tc>
          <w:tcPr>
            <w:tcW w:w="1887" w:type="pct"/>
            <w:vAlign w:val="center"/>
          </w:tcPr>
          <w:p w14:paraId="78805F99" w14:textId="6D76C9DF" w:rsidR="00854757" w:rsidRPr="00074E91" w:rsidRDefault="00854757" w:rsidP="001B4485">
            <w:pPr>
              <w:spacing w:after="0" w:line="240" w:lineRule="auto"/>
              <w:rPr>
                <w:rFonts w:cs="Arial"/>
                <w:szCs w:val="20"/>
              </w:rPr>
            </w:pPr>
            <w:r w:rsidRPr="00074E91">
              <w:rPr>
                <w:rFonts w:cs="Arial"/>
                <w:szCs w:val="20"/>
              </w:rPr>
              <w:t>Mide la proporción de programas educativos de nivel profesional y TSU efectivamente ofertados por la UTC respecto del total de programas educativos de nivel profesional y TSU programados, expresada como porcentaje.</w:t>
            </w:r>
          </w:p>
        </w:tc>
      </w:tr>
      <w:tr w:rsidR="00854757" w:rsidRPr="00074E91" w14:paraId="42B63B79" w14:textId="77777777" w:rsidTr="001B4485">
        <w:trPr>
          <w:trHeight w:val="1814"/>
          <w:jc w:val="center"/>
        </w:trPr>
        <w:tc>
          <w:tcPr>
            <w:tcW w:w="1469" w:type="pct"/>
            <w:vMerge/>
            <w:vAlign w:val="center"/>
          </w:tcPr>
          <w:p w14:paraId="7345D403" w14:textId="154F5CD1" w:rsidR="00854757" w:rsidRPr="00074E91" w:rsidRDefault="00854757" w:rsidP="001B4485">
            <w:pPr>
              <w:spacing w:after="0" w:line="240" w:lineRule="auto"/>
              <w:rPr>
                <w:rFonts w:cs="Arial"/>
                <w:szCs w:val="20"/>
              </w:rPr>
            </w:pPr>
          </w:p>
        </w:tc>
        <w:tc>
          <w:tcPr>
            <w:tcW w:w="1644" w:type="pct"/>
            <w:vAlign w:val="center"/>
          </w:tcPr>
          <w:p w14:paraId="58E3708C" w14:textId="7A883F35" w:rsidR="00854757" w:rsidRPr="00074E91" w:rsidRDefault="00854757" w:rsidP="001B4485">
            <w:pPr>
              <w:spacing w:after="0" w:line="240" w:lineRule="auto"/>
              <w:rPr>
                <w:rFonts w:cs="Arial"/>
                <w:szCs w:val="20"/>
              </w:rPr>
            </w:pPr>
            <w:r w:rsidRPr="00074E91">
              <w:rPr>
                <w:rFonts w:cs="Arial"/>
                <w:szCs w:val="20"/>
              </w:rPr>
              <w:t>Porcentaje de programas educativos acreditados</w:t>
            </w:r>
          </w:p>
        </w:tc>
        <w:tc>
          <w:tcPr>
            <w:tcW w:w="1887" w:type="pct"/>
            <w:vAlign w:val="center"/>
          </w:tcPr>
          <w:p w14:paraId="286195A2" w14:textId="57EDCA7E" w:rsidR="00854757" w:rsidRPr="00074E91" w:rsidRDefault="00854757" w:rsidP="001B4485">
            <w:pPr>
              <w:spacing w:after="0" w:line="240" w:lineRule="auto"/>
              <w:rPr>
                <w:rFonts w:cs="Arial"/>
                <w:szCs w:val="20"/>
              </w:rPr>
            </w:pPr>
            <w:r w:rsidRPr="00074E91">
              <w:rPr>
                <w:rFonts w:cs="Arial"/>
                <w:szCs w:val="20"/>
              </w:rPr>
              <w:t>Mide la proporción de programas educativos de nivel profesional y TSU que cuentan con acreditación, respecto del total de programas educativos de nivel profesional y TSU ofertados por la UTC, expresada como porcentaje.</w:t>
            </w:r>
          </w:p>
        </w:tc>
      </w:tr>
      <w:tr w:rsidR="00854757" w:rsidRPr="00074E91" w14:paraId="57A8B59B" w14:textId="77777777" w:rsidTr="000978CE">
        <w:trPr>
          <w:trHeight w:val="1321"/>
          <w:jc w:val="center"/>
        </w:trPr>
        <w:tc>
          <w:tcPr>
            <w:tcW w:w="1469" w:type="pct"/>
            <w:vMerge w:val="restart"/>
            <w:vAlign w:val="center"/>
          </w:tcPr>
          <w:p w14:paraId="48060F09" w14:textId="587E1AEA" w:rsidR="00854757" w:rsidRPr="00074E91" w:rsidRDefault="00854757" w:rsidP="001B4485">
            <w:pPr>
              <w:spacing w:after="0" w:line="240" w:lineRule="auto"/>
              <w:rPr>
                <w:rFonts w:cs="Arial"/>
                <w:szCs w:val="20"/>
              </w:rPr>
            </w:pPr>
            <w:r w:rsidRPr="00074E91">
              <w:rPr>
                <w:rFonts w:cs="Arial"/>
                <w:szCs w:val="20"/>
              </w:rPr>
              <w:lastRenderedPageBreak/>
              <w:t>Docentes profesionales, capaces y aptos para atender las asignaturas y programas, dispuestos</w:t>
            </w:r>
          </w:p>
        </w:tc>
        <w:tc>
          <w:tcPr>
            <w:tcW w:w="1644" w:type="pct"/>
            <w:vAlign w:val="center"/>
          </w:tcPr>
          <w:p w14:paraId="2B7BA1B1" w14:textId="78DB665C" w:rsidR="00854757" w:rsidRPr="00074E91" w:rsidRDefault="00854757" w:rsidP="001B4485">
            <w:pPr>
              <w:spacing w:after="0" w:line="240" w:lineRule="auto"/>
              <w:rPr>
                <w:rFonts w:cs="Arial"/>
                <w:szCs w:val="20"/>
              </w:rPr>
            </w:pPr>
            <w:r w:rsidRPr="00074E91">
              <w:rPr>
                <w:rFonts w:cs="Arial"/>
                <w:szCs w:val="20"/>
              </w:rPr>
              <w:t>Docentes por cada cien alumnos</w:t>
            </w:r>
          </w:p>
        </w:tc>
        <w:tc>
          <w:tcPr>
            <w:tcW w:w="1887" w:type="pct"/>
            <w:vAlign w:val="center"/>
          </w:tcPr>
          <w:p w14:paraId="40F6D07A" w14:textId="13F2D215" w:rsidR="00854757" w:rsidRPr="00074E91" w:rsidRDefault="00854757" w:rsidP="001B4485">
            <w:pPr>
              <w:spacing w:after="0" w:line="240" w:lineRule="auto"/>
              <w:rPr>
                <w:rFonts w:cs="Arial"/>
                <w:szCs w:val="20"/>
              </w:rPr>
            </w:pPr>
            <w:r w:rsidRPr="00074E91">
              <w:rPr>
                <w:rFonts w:cs="Arial"/>
                <w:szCs w:val="20"/>
              </w:rPr>
              <w:t>Mide la cantidad de docentes de la Universidad por cada cien alumnos, a partir de la relación entre el total de docentes y la matrícula promedio de la UTC.</w:t>
            </w:r>
          </w:p>
        </w:tc>
      </w:tr>
      <w:tr w:rsidR="00854757" w:rsidRPr="00074E91" w14:paraId="5522D771" w14:textId="77777777" w:rsidTr="000978CE">
        <w:trPr>
          <w:trHeight w:val="1410"/>
          <w:jc w:val="center"/>
        </w:trPr>
        <w:tc>
          <w:tcPr>
            <w:tcW w:w="1469" w:type="pct"/>
            <w:vMerge/>
            <w:vAlign w:val="center"/>
          </w:tcPr>
          <w:p w14:paraId="29F96791" w14:textId="5A353B41" w:rsidR="00854757" w:rsidRPr="00074E91" w:rsidRDefault="00854757" w:rsidP="001B4485">
            <w:pPr>
              <w:spacing w:after="0" w:line="240" w:lineRule="auto"/>
              <w:rPr>
                <w:rFonts w:cs="Arial"/>
                <w:szCs w:val="20"/>
              </w:rPr>
            </w:pPr>
          </w:p>
        </w:tc>
        <w:tc>
          <w:tcPr>
            <w:tcW w:w="1644" w:type="pct"/>
            <w:vAlign w:val="center"/>
          </w:tcPr>
          <w:p w14:paraId="6006E9A2" w14:textId="68B93D75" w:rsidR="00854757" w:rsidRPr="00074E91" w:rsidRDefault="00854757" w:rsidP="001B4485">
            <w:pPr>
              <w:spacing w:after="0" w:line="240" w:lineRule="auto"/>
              <w:rPr>
                <w:rFonts w:cs="Arial"/>
                <w:szCs w:val="20"/>
              </w:rPr>
            </w:pPr>
            <w:r w:rsidRPr="00074E91">
              <w:rPr>
                <w:rFonts w:cs="Arial"/>
                <w:szCs w:val="20"/>
              </w:rPr>
              <w:t>Porcentaje de docentes con grado máximo de estudios de maestría</w:t>
            </w:r>
          </w:p>
        </w:tc>
        <w:tc>
          <w:tcPr>
            <w:tcW w:w="1887" w:type="pct"/>
            <w:vAlign w:val="center"/>
          </w:tcPr>
          <w:p w14:paraId="043DE264" w14:textId="2577AC9D" w:rsidR="00854757" w:rsidRPr="00074E91" w:rsidRDefault="00854757" w:rsidP="001B4485">
            <w:pPr>
              <w:spacing w:after="0" w:line="240" w:lineRule="auto"/>
              <w:rPr>
                <w:rFonts w:cs="Arial"/>
                <w:szCs w:val="20"/>
              </w:rPr>
            </w:pPr>
            <w:r w:rsidRPr="00074E91">
              <w:rPr>
                <w:rFonts w:cs="Arial"/>
                <w:szCs w:val="20"/>
              </w:rPr>
              <w:t>Mide la proporción de docentes cuyo grado máximo de estudios es maestría, respecto del total de docentes de la Universidad, expresada como porcentaje.</w:t>
            </w:r>
          </w:p>
        </w:tc>
      </w:tr>
      <w:tr w:rsidR="00854757" w:rsidRPr="00074E91" w14:paraId="0B5ACBB6" w14:textId="77777777" w:rsidTr="000978CE">
        <w:trPr>
          <w:trHeight w:val="1416"/>
          <w:jc w:val="center"/>
        </w:trPr>
        <w:tc>
          <w:tcPr>
            <w:tcW w:w="1469" w:type="pct"/>
            <w:vMerge/>
            <w:vAlign w:val="center"/>
          </w:tcPr>
          <w:p w14:paraId="40650818" w14:textId="472F19C9" w:rsidR="00854757" w:rsidRPr="00074E91" w:rsidRDefault="00854757" w:rsidP="001B4485">
            <w:pPr>
              <w:spacing w:after="0" w:line="240" w:lineRule="auto"/>
              <w:rPr>
                <w:rFonts w:cs="Arial"/>
                <w:szCs w:val="20"/>
              </w:rPr>
            </w:pPr>
          </w:p>
        </w:tc>
        <w:tc>
          <w:tcPr>
            <w:tcW w:w="1644" w:type="pct"/>
            <w:vAlign w:val="center"/>
          </w:tcPr>
          <w:p w14:paraId="7EF452B0" w14:textId="7358946B" w:rsidR="00854757" w:rsidRPr="00074E91" w:rsidRDefault="00854757" w:rsidP="001B4485">
            <w:pPr>
              <w:spacing w:after="0" w:line="240" w:lineRule="auto"/>
              <w:rPr>
                <w:rFonts w:cs="Arial"/>
                <w:szCs w:val="20"/>
              </w:rPr>
            </w:pPr>
            <w:r w:rsidRPr="00074E91">
              <w:rPr>
                <w:rFonts w:cs="Arial"/>
                <w:szCs w:val="20"/>
              </w:rPr>
              <w:t>Porcentaje de docentes con grado máximo de estudios de doctorado</w:t>
            </w:r>
          </w:p>
        </w:tc>
        <w:tc>
          <w:tcPr>
            <w:tcW w:w="1887" w:type="pct"/>
            <w:vAlign w:val="center"/>
          </w:tcPr>
          <w:p w14:paraId="7E151F32" w14:textId="2842CE6D" w:rsidR="00854757" w:rsidRPr="00074E91" w:rsidRDefault="00854757" w:rsidP="001B4485">
            <w:pPr>
              <w:spacing w:after="0" w:line="240" w:lineRule="auto"/>
              <w:rPr>
                <w:rFonts w:cs="Arial"/>
                <w:szCs w:val="20"/>
              </w:rPr>
            </w:pPr>
            <w:r w:rsidRPr="00074E91">
              <w:rPr>
                <w:rFonts w:cs="Arial"/>
                <w:szCs w:val="20"/>
              </w:rPr>
              <w:t>Mide la proporción de docentes cuyo grado máximo de estudios es doctorado, respecto del total de docentes de la Universidad, expresada como porcentaje.</w:t>
            </w:r>
          </w:p>
        </w:tc>
      </w:tr>
      <w:tr w:rsidR="00854757" w:rsidRPr="00074E91" w14:paraId="6733F604" w14:textId="77777777" w:rsidTr="000978CE">
        <w:trPr>
          <w:trHeight w:val="1549"/>
          <w:jc w:val="center"/>
        </w:trPr>
        <w:tc>
          <w:tcPr>
            <w:tcW w:w="1469" w:type="pct"/>
            <w:vMerge/>
            <w:vAlign w:val="center"/>
          </w:tcPr>
          <w:p w14:paraId="2A46A2FA" w14:textId="74FD0072" w:rsidR="00854757" w:rsidRPr="00074E91" w:rsidRDefault="00854757" w:rsidP="001B4485">
            <w:pPr>
              <w:spacing w:after="0" w:line="240" w:lineRule="auto"/>
              <w:rPr>
                <w:rFonts w:cs="Arial"/>
                <w:szCs w:val="20"/>
              </w:rPr>
            </w:pPr>
          </w:p>
        </w:tc>
        <w:tc>
          <w:tcPr>
            <w:tcW w:w="1644" w:type="pct"/>
            <w:vAlign w:val="center"/>
          </w:tcPr>
          <w:p w14:paraId="72E71693" w14:textId="64D1E9B1" w:rsidR="00854757" w:rsidRPr="00074E91" w:rsidRDefault="00854757" w:rsidP="001B4485">
            <w:pPr>
              <w:spacing w:after="0" w:line="240" w:lineRule="auto"/>
              <w:rPr>
                <w:rFonts w:cs="Arial"/>
                <w:szCs w:val="20"/>
              </w:rPr>
            </w:pPr>
            <w:r w:rsidRPr="00074E91">
              <w:rPr>
                <w:rFonts w:cs="Arial"/>
                <w:szCs w:val="20"/>
              </w:rPr>
              <w:t>Porcentaje de docentes SIN</w:t>
            </w:r>
          </w:p>
        </w:tc>
        <w:tc>
          <w:tcPr>
            <w:tcW w:w="1887" w:type="pct"/>
            <w:vAlign w:val="center"/>
          </w:tcPr>
          <w:p w14:paraId="265A09BA" w14:textId="63FF2283" w:rsidR="00854757" w:rsidRPr="00074E91" w:rsidRDefault="00854757" w:rsidP="001B4485">
            <w:pPr>
              <w:spacing w:after="0" w:line="240" w:lineRule="auto"/>
              <w:rPr>
                <w:rFonts w:cs="Arial"/>
                <w:szCs w:val="20"/>
              </w:rPr>
            </w:pPr>
            <w:r w:rsidRPr="00074E91">
              <w:rPr>
                <w:rFonts w:cs="Arial"/>
                <w:szCs w:val="20"/>
              </w:rPr>
              <w:t>Mide la proporción de docentes que forman parte del Sistema Nacional de Investigadores (SNI) respecto del total de docentes con grado de doctorado, expresada como porcentaje.</w:t>
            </w:r>
          </w:p>
        </w:tc>
      </w:tr>
      <w:tr w:rsidR="00854757" w:rsidRPr="00074E91" w14:paraId="51368B9C" w14:textId="77777777" w:rsidTr="000978CE">
        <w:trPr>
          <w:trHeight w:val="1544"/>
          <w:jc w:val="center"/>
        </w:trPr>
        <w:tc>
          <w:tcPr>
            <w:tcW w:w="1469" w:type="pct"/>
            <w:vMerge/>
            <w:vAlign w:val="center"/>
          </w:tcPr>
          <w:p w14:paraId="0BB8A3F7" w14:textId="2906F9BF" w:rsidR="00854757" w:rsidRPr="00074E91" w:rsidRDefault="00854757" w:rsidP="001B4485">
            <w:pPr>
              <w:spacing w:after="0" w:line="240" w:lineRule="auto"/>
              <w:rPr>
                <w:rFonts w:cs="Arial"/>
                <w:szCs w:val="20"/>
              </w:rPr>
            </w:pPr>
          </w:p>
        </w:tc>
        <w:tc>
          <w:tcPr>
            <w:tcW w:w="1644" w:type="pct"/>
            <w:vAlign w:val="center"/>
          </w:tcPr>
          <w:p w14:paraId="4576EA03" w14:textId="05894F49" w:rsidR="00854757" w:rsidRPr="00074E91" w:rsidRDefault="00854757" w:rsidP="001B4485">
            <w:pPr>
              <w:spacing w:after="0" w:line="240" w:lineRule="auto"/>
              <w:rPr>
                <w:rFonts w:cs="Arial"/>
                <w:szCs w:val="20"/>
              </w:rPr>
            </w:pPr>
            <w:r w:rsidRPr="00074E91">
              <w:rPr>
                <w:rFonts w:cs="Arial"/>
                <w:szCs w:val="20"/>
              </w:rPr>
              <w:t>Porcentaje de docentes inscritos en el SSIT</w:t>
            </w:r>
          </w:p>
        </w:tc>
        <w:tc>
          <w:tcPr>
            <w:tcW w:w="1887" w:type="pct"/>
            <w:vAlign w:val="center"/>
          </w:tcPr>
          <w:p w14:paraId="7DFC402A" w14:textId="7FB344C9" w:rsidR="00854757" w:rsidRPr="00074E91" w:rsidRDefault="00854757" w:rsidP="001B4485">
            <w:pPr>
              <w:spacing w:after="0" w:line="240" w:lineRule="auto"/>
              <w:rPr>
                <w:rFonts w:cs="Arial"/>
                <w:szCs w:val="20"/>
              </w:rPr>
            </w:pPr>
            <w:r w:rsidRPr="00074E91">
              <w:rPr>
                <w:rFonts w:cs="Arial"/>
                <w:szCs w:val="20"/>
              </w:rPr>
              <w:t>Mide la proporción de docentes con posgrado inscritos en el SSIT, respecto del total de docentes con posgrado, expresada como porcentaje.</w:t>
            </w:r>
          </w:p>
        </w:tc>
      </w:tr>
      <w:tr w:rsidR="00854757" w:rsidRPr="00074E91" w14:paraId="5038591F" w14:textId="77777777" w:rsidTr="000978CE">
        <w:trPr>
          <w:trHeight w:val="1268"/>
          <w:jc w:val="center"/>
        </w:trPr>
        <w:tc>
          <w:tcPr>
            <w:tcW w:w="1469" w:type="pct"/>
            <w:vMerge/>
            <w:vAlign w:val="center"/>
          </w:tcPr>
          <w:p w14:paraId="5BD20E91" w14:textId="0BA7D042" w:rsidR="00854757" w:rsidRPr="00074E91" w:rsidRDefault="00854757" w:rsidP="001B4485">
            <w:pPr>
              <w:spacing w:after="0" w:line="240" w:lineRule="auto"/>
              <w:rPr>
                <w:rFonts w:cs="Arial"/>
                <w:szCs w:val="20"/>
              </w:rPr>
            </w:pPr>
          </w:p>
        </w:tc>
        <w:tc>
          <w:tcPr>
            <w:tcW w:w="1644" w:type="pct"/>
            <w:vAlign w:val="center"/>
          </w:tcPr>
          <w:p w14:paraId="2485C424" w14:textId="37489ABC" w:rsidR="00854757" w:rsidRPr="00074E91" w:rsidRDefault="00854757" w:rsidP="001B4485">
            <w:pPr>
              <w:spacing w:after="0" w:line="240" w:lineRule="auto"/>
              <w:rPr>
                <w:rFonts w:cs="Arial"/>
                <w:szCs w:val="20"/>
              </w:rPr>
            </w:pPr>
            <w:r w:rsidRPr="00074E91">
              <w:rPr>
                <w:rFonts w:cs="Arial"/>
                <w:szCs w:val="20"/>
              </w:rPr>
              <w:t>Porcentaje de docentes de tiempo completo</w:t>
            </w:r>
          </w:p>
        </w:tc>
        <w:tc>
          <w:tcPr>
            <w:tcW w:w="1887" w:type="pct"/>
            <w:vAlign w:val="center"/>
          </w:tcPr>
          <w:p w14:paraId="3AC26F65" w14:textId="7764E52D" w:rsidR="00854757" w:rsidRPr="00074E91" w:rsidRDefault="00854757" w:rsidP="001B4485">
            <w:pPr>
              <w:spacing w:after="0" w:line="240" w:lineRule="auto"/>
              <w:rPr>
                <w:rFonts w:cs="Arial"/>
                <w:szCs w:val="20"/>
              </w:rPr>
            </w:pPr>
            <w:r w:rsidRPr="00074E91">
              <w:rPr>
                <w:rFonts w:cs="Arial"/>
                <w:szCs w:val="20"/>
              </w:rPr>
              <w:t>Mide la proporción de docentes contratados a tiempo completo respecto del total de docentes de la Universidad, expresada como porcentaje.</w:t>
            </w:r>
          </w:p>
        </w:tc>
      </w:tr>
      <w:tr w:rsidR="00854757" w:rsidRPr="00074E91" w14:paraId="26EBE190" w14:textId="77777777" w:rsidTr="000978CE">
        <w:trPr>
          <w:trHeight w:val="1697"/>
          <w:jc w:val="center"/>
        </w:trPr>
        <w:tc>
          <w:tcPr>
            <w:tcW w:w="1469" w:type="pct"/>
            <w:vAlign w:val="center"/>
          </w:tcPr>
          <w:p w14:paraId="4E0D05CA" w14:textId="74B8E91A" w:rsidR="00854757" w:rsidRPr="00074E91" w:rsidRDefault="00854757" w:rsidP="001B4485">
            <w:pPr>
              <w:spacing w:after="0" w:line="240" w:lineRule="auto"/>
              <w:rPr>
                <w:rFonts w:cs="Arial"/>
                <w:szCs w:val="20"/>
              </w:rPr>
            </w:pPr>
            <w:r w:rsidRPr="00074E91">
              <w:rPr>
                <w:rFonts w:cs="Arial"/>
                <w:szCs w:val="20"/>
              </w:rPr>
              <w:t>Adecuada y suficiente infraestructura y equipamiento académico y administrativo dispuesta</w:t>
            </w:r>
          </w:p>
        </w:tc>
        <w:tc>
          <w:tcPr>
            <w:tcW w:w="1644" w:type="pct"/>
            <w:vAlign w:val="center"/>
          </w:tcPr>
          <w:p w14:paraId="64A3E8BA" w14:textId="74D39117" w:rsidR="00854757" w:rsidRPr="00074E91" w:rsidRDefault="00854757" w:rsidP="001B4485">
            <w:pPr>
              <w:spacing w:after="0" w:line="240" w:lineRule="auto"/>
              <w:rPr>
                <w:rFonts w:cs="Arial"/>
                <w:szCs w:val="20"/>
              </w:rPr>
            </w:pPr>
            <w:r w:rsidRPr="00074E91">
              <w:rPr>
                <w:rFonts w:cs="Arial"/>
                <w:szCs w:val="20"/>
              </w:rPr>
              <w:t>Alumnos promedio por salón</w:t>
            </w:r>
          </w:p>
        </w:tc>
        <w:tc>
          <w:tcPr>
            <w:tcW w:w="1887" w:type="pct"/>
            <w:vAlign w:val="center"/>
          </w:tcPr>
          <w:p w14:paraId="7F24194F" w14:textId="737208ED" w:rsidR="00854757" w:rsidRPr="00074E91" w:rsidRDefault="00854757" w:rsidP="001B4485">
            <w:pPr>
              <w:spacing w:after="0" w:line="240" w:lineRule="auto"/>
              <w:rPr>
                <w:rFonts w:cs="Arial"/>
                <w:szCs w:val="20"/>
              </w:rPr>
            </w:pPr>
            <w:r w:rsidRPr="00074E91">
              <w:rPr>
                <w:rFonts w:cs="Arial"/>
                <w:szCs w:val="20"/>
              </w:rPr>
              <w:t>Mide el número promedio de alumnos por salón de clases, a partir de la relación entre el total de alumnos matriculados y el total de salones de clase disponibles en la Universidad.</w:t>
            </w:r>
          </w:p>
        </w:tc>
      </w:tr>
      <w:tr w:rsidR="00854757" w:rsidRPr="00074E91" w14:paraId="08B8DDBA" w14:textId="77777777" w:rsidTr="000978CE">
        <w:trPr>
          <w:trHeight w:val="1757"/>
          <w:jc w:val="center"/>
        </w:trPr>
        <w:tc>
          <w:tcPr>
            <w:tcW w:w="1469" w:type="pct"/>
            <w:vMerge w:val="restart"/>
            <w:vAlign w:val="center"/>
          </w:tcPr>
          <w:p w14:paraId="62E64660" w14:textId="78CD69C0" w:rsidR="00854757" w:rsidRPr="00074E91" w:rsidRDefault="00854757" w:rsidP="001B4485">
            <w:pPr>
              <w:spacing w:after="0" w:line="240" w:lineRule="auto"/>
              <w:rPr>
                <w:rFonts w:cs="Arial"/>
                <w:szCs w:val="20"/>
              </w:rPr>
            </w:pPr>
            <w:r w:rsidRPr="00074E91">
              <w:rPr>
                <w:rFonts w:cs="Arial"/>
                <w:szCs w:val="20"/>
              </w:rPr>
              <w:t>Funciones administrativas fortalecidas</w:t>
            </w:r>
          </w:p>
        </w:tc>
        <w:tc>
          <w:tcPr>
            <w:tcW w:w="1644" w:type="pct"/>
            <w:vAlign w:val="center"/>
          </w:tcPr>
          <w:p w14:paraId="3726BB0D" w14:textId="7B5EDC1D" w:rsidR="00854757" w:rsidRPr="00074E91" w:rsidRDefault="00854757" w:rsidP="001B4485">
            <w:pPr>
              <w:spacing w:after="0" w:line="240" w:lineRule="auto"/>
              <w:rPr>
                <w:rFonts w:cs="Arial"/>
                <w:szCs w:val="20"/>
              </w:rPr>
            </w:pPr>
            <w:r w:rsidRPr="00074E91">
              <w:rPr>
                <w:rFonts w:cs="Arial"/>
                <w:szCs w:val="20"/>
              </w:rPr>
              <w:t>Porcentaje de formatos de transparencia publicados</w:t>
            </w:r>
          </w:p>
        </w:tc>
        <w:tc>
          <w:tcPr>
            <w:tcW w:w="1887" w:type="pct"/>
            <w:vAlign w:val="center"/>
          </w:tcPr>
          <w:p w14:paraId="63E2A3F5" w14:textId="012F3E00" w:rsidR="00854757" w:rsidRPr="00074E91" w:rsidRDefault="00854757" w:rsidP="001B4485">
            <w:pPr>
              <w:spacing w:after="0" w:line="240" w:lineRule="auto"/>
              <w:rPr>
                <w:rFonts w:cs="Arial"/>
                <w:szCs w:val="20"/>
              </w:rPr>
            </w:pPr>
            <w:r w:rsidRPr="00074E91">
              <w:rPr>
                <w:rFonts w:cs="Arial"/>
                <w:szCs w:val="20"/>
              </w:rPr>
              <w:t>Mide la proporción de formatos de obligaciones de transparencia publicados en los tiempos reglamentarios, respecto del total de formatos aplicables en el periodo, expresada como porcentaje.</w:t>
            </w:r>
          </w:p>
        </w:tc>
      </w:tr>
      <w:tr w:rsidR="00854757" w:rsidRPr="00074E91" w14:paraId="4FA14185" w14:textId="77777777" w:rsidTr="000978CE">
        <w:trPr>
          <w:trHeight w:val="1604"/>
          <w:jc w:val="center"/>
        </w:trPr>
        <w:tc>
          <w:tcPr>
            <w:tcW w:w="1469" w:type="pct"/>
            <w:vMerge/>
            <w:vAlign w:val="center"/>
          </w:tcPr>
          <w:p w14:paraId="1F264E01" w14:textId="3FED2C79" w:rsidR="00854757" w:rsidRPr="00074E91" w:rsidRDefault="00854757" w:rsidP="001B4485">
            <w:pPr>
              <w:spacing w:after="0" w:line="240" w:lineRule="auto"/>
              <w:rPr>
                <w:rFonts w:cs="Arial"/>
                <w:szCs w:val="20"/>
              </w:rPr>
            </w:pPr>
          </w:p>
        </w:tc>
        <w:tc>
          <w:tcPr>
            <w:tcW w:w="1644" w:type="pct"/>
            <w:vAlign w:val="center"/>
          </w:tcPr>
          <w:p w14:paraId="1B8B4067" w14:textId="5EF5B3FB" w:rsidR="00854757" w:rsidRPr="00074E91" w:rsidRDefault="00854757" w:rsidP="001B4485">
            <w:pPr>
              <w:spacing w:after="0" w:line="240" w:lineRule="auto"/>
              <w:rPr>
                <w:rFonts w:cs="Arial"/>
                <w:szCs w:val="20"/>
              </w:rPr>
            </w:pPr>
            <w:r w:rsidRPr="00074E91">
              <w:rPr>
                <w:rFonts w:cs="Arial"/>
                <w:szCs w:val="20"/>
              </w:rPr>
              <w:t>Porcentaje de informes de armonización contable y disciplina financiera publicados</w:t>
            </w:r>
          </w:p>
        </w:tc>
        <w:tc>
          <w:tcPr>
            <w:tcW w:w="1887" w:type="pct"/>
            <w:vAlign w:val="center"/>
          </w:tcPr>
          <w:p w14:paraId="48326032" w14:textId="13067E70" w:rsidR="00854757" w:rsidRPr="00074E91" w:rsidRDefault="00854757" w:rsidP="001B4485">
            <w:pPr>
              <w:spacing w:after="0" w:line="240" w:lineRule="auto"/>
              <w:rPr>
                <w:rFonts w:cs="Arial"/>
                <w:szCs w:val="20"/>
              </w:rPr>
            </w:pPr>
            <w:r w:rsidRPr="00074E91">
              <w:rPr>
                <w:rFonts w:cs="Arial"/>
                <w:szCs w:val="20"/>
              </w:rPr>
              <w:t>Mide la proporción de informes de armonización contable y disciplina financiera publicados, respecto del total de informes obligatorios para el periodo, expresada como porcentaje.</w:t>
            </w:r>
          </w:p>
        </w:tc>
      </w:tr>
      <w:tr w:rsidR="00854757" w:rsidRPr="00074E91" w14:paraId="7383EB2F" w14:textId="77777777" w:rsidTr="000978CE">
        <w:trPr>
          <w:trHeight w:val="1684"/>
          <w:jc w:val="center"/>
        </w:trPr>
        <w:tc>
          <w:tcPr>
            <w:tcW w:w="1469" w:type="pct"/>
            <w:vMerge/>
            <w:vAlign w:val="center"/>
          </w:tcPr>
          <w:p w14:paraId="38D18144" w14:textId="08CFF627" w:rsidR="00854757" w:rsidRPr="00074E91" w:rsidRDefault="00854757" w:rsidP="001B4485">
            <w:pPr>
              <w:spacing w:after="0" w:line="240" w:lineRule="auto"/>
              <w:rPr>
                <w:rFonts w:cs="Arial"/>
                <w:szCs w:val="20"/>
              </w:rPr>
            </w:pPr>
          </w:p>
        </w:tc>
        <w:tc>
          <w:tcPr>
            <w:tcW w:w="1644" w:type="pct"/>
            <w:vAlign w:val="center"/>
          </w:tcPr>
          <w:p w14:paraId="5858EEF5" w14:textId="13F6A3EC" w:rsidR="00854757" w:rsidRPr="00074E91" w:rsidRDefault="00854757" w:rsidP="001B4485">
            <w:pPr>
              <w:spacing w:after="0" w:line="240" w:lineRule="auto"/>
              <w:rPr>
                <w:rFonts w:cs="Arial"/>
                <w:szCs w:val="20"/>
              </w:rPr>
            </w:pPr>
            <w:r w:rsidRPr="00074E91">
              <w:rPr>
                <w:rFonts w:cs="Arial"/>
                <w:szCs w:val="20"/>
              </w:rPr>
              <w:t>Porcentaje de solicitudes de acceso a la información atendidas</w:t>
            </w:r>
          </w:p>
        </w:tc>
        <w:tc>
          <w:tcPr>
            <w:tcW w:w="1887" w:type="pct"/>
            <w:vAlign w:val="center"/>
          </w:tcPr>
          <w:p w14:paraId="66D4245D" w14:textId="77FB4FDA" w:rsidR="00854757" w:rsidRPr="00074E91" w:rsidRDefault="00854757" w:rsidP="001B4485">
            <w:pPr>
              <w:spacing w:after="0" w:line="240" w:lineRule="auto"/>
              <w:rPr>
                <w:rFonts w:cs="Arial"/>
                <w:szCs w:val="20"/>
              </w:rPr>
            </w:pPr>
            <w:r w:rsidRPr="00074E91">
              <w:rPr>
                <w:rFonts w:cs="Arial"/>
                <w:szCs w:val="20"/>
              </w:rPr>
              <w:t>Mide la proporción de solicitudes de acceso a la información que son atendidas dentro de los plazos reglamentarios, respecto del total de solicitudes recibidas, expresada como porcentaje.</w:t>
            </w:r>
          </w:p>
        </w:tc>
      </w:tr>
      <w:tr w:rsidR="00854757" w:rsidRPr="00074E91" w14:paraId="585D2405" w14:textId="77777777" w:rsidTr="000978CE">
        <w:trPr>
          <w:trHeight w:val="2119"/>
          <w:jc w:val="center"/>
        </w:trPr>
        <w:tc>
          <w:tcPr>
            <w:tcW w:w="1469" w:type="pct"/>
            <w:vAlign w:val="center"/>
          </w:tcPr>
          <w:p w14:paraId="74DD9CB8" w14:textId="7F334418" w:rsidR="00854757" w:rsidRPr="00074E91" w:rsidRDefault="00854757" w:rsidP="001B4485">
            <w:pPr>
              <w:spacing w:after="0" w:line="240" w:lineRule="auto"/>
              <w:rPr>
                <w:rFonts w:cs="Arial"/>
                <w:szCs w:val="20"/>
              </w:rPr>
            </w:pPr>
            <w:r w:rsidRPr="00074E91">
              <w:rPr>
                <w:rFonts w:cs="Arial"/>
                <w:szCs w:val="20"/>
              </w:rPr>
              <w:t>Difusión de la oferta educativa</w:t>
            </w:r>
          </w:p>
        </w:tc>
        <w:tc>
          <w:tcPr>
            <w:tcW w:w="1644" w:type="pct"/>
            <w:vAlign w:val="center"/>
          </w:tcPr>
          <w:p w14:paraId="74D23A66" w14:textId="6CC84E1E" w:rsidR="00854757" w:rsidRPr="00074E91" w:rsidRDefault="00854757" w:rsidP="001B4485">
            <w:pPr>
              <w:spacing w:after="0" w:line="240" w:lineRule="auto"/>
              <w:rPr>
                <w:rFonts w:cs="Arial"/>
                <w:szCs w:val="20"/>
              </w:rPr>
            </w:pPr>
            <w:r w:rsidRPr="00074E91">
              <w:rPr>
                <w:rFonts w:cs="Arial"/>
                <w:szCs w:val="20"/>
              </w:rPr>
              <w:t>Porcentaje de asistencia a expo universidades</w:t>
            </w:r>
          </w:p>
        </w:tc>
        <w:tc>
          <w:tcPr>
            <w:tcW w:w="1887" w:type="pct"/>
            <w:vAlign w:val="center"/>
          </w:tcPr>
          <w:p w14:paraId="40174920" w14:textId="5B69C969" w:rsidR="00854757" w:rsidRPr="00074E91" w:rsidRDefault="00854757" w:rsidP="001B4485">
            <w:pPr>
              <w:spacing w:after="0" w:line="240" w:lineRule="auto"/>
              <w:rPr>
                <w:rFonts w:cs="Arial"/>
                <w:szCs w:val="20"/>
              </w:rPr>
            </w:pPr>
            <w:r w:rsidRPr="00074E91">
              <w:rPr>
                <w:rFonts w:cs="Arial"/>
                <w:szCs w:val="20"/>
              </w:rPr>
              <w:t>Mide el grado de cumplimiento de los eventos de promoción institucional (expo universidades y actividades similares) ejecutados por la UTC, respecto del total anual de eventos de promoción institucional programados, expresado como porcentaje.</w:t>
            </w:r>
          </w:p>
        </w:tc>
      </w:tr>
      <w:tr w:rsidR="00854757" w:rsidRPr="00074E91" w14:paraId="31C82127" w14:textId="77777777" w:rsidTr="000978CE">
        <w:trPr>
          <w:trHeight w:val="1709"/>
          <w:jc w:val="center"/>
        </w:trPr>
        <w:tc>
          <w:tcPr>
            <w:tcW w:w="1469" w:type="pct"/>
            <w:vMerge w:val="restart"/>
            <w:vAlign w:val="center"/>
          </w:tcPr>
          <w:p w14:paraId="2670A5D2" w14:textId="0460AC5F" w:rsidR="00854757" w:rsidRPr="00074E91" w:rsidRDefault="00854757" w:rsidP="001B4485">
            <w:pPr>
              <w:spacing w:after="0" w:line="240" w:lineRule="auto"/>
              <w:rPr>
                <w:rFonts w:cs="Arial"/>
                <w:szCs w:val="20"/>
              </w:rPr>
            </w:pPr>
            <w:r w:rsidRPr="00074E91">
              <w:rPr>
                <w:rFonts w:cs="Arial"/>
                <w:szCs w:val="20"/>
              </w:rPr>
              <w:t>Atención a las empresas locales en sus diferentes sectores, para ocupar espacios para prácticas profesionales por los estudiantes</w:t>
            </w:r>
          </w:p>
        </w:tc>
        <w:tc>
          <w:tcPr>
            <w:tcW w:w="1644" w:type="pct"/>
            <w:vAlign w:val="center"/>
          </w:tcPr>
          <w:p w14:paraId="4A96368A" w14:textId="0BC16938" w:rsidR="00854757" w:rsidRPr="00074E91" w:rsidRDefault="00854757" w:rsidP="001B4485">
            <w:pPr>
              <w:spacing w:after="0" w:line="240" w:lineRule="auto"/>
              <w:rPr>
                <w:rFonts w:cs="Arial"/>
                <w:szCs w:val="20"/>
              </w:rPr>
            </w:pPr>
            <w:r w:rsidRPr="00074E91">
              <w:rPr>
                <w:rFonts w:cs="Arial"/>
                <w:szCs w:val="20"/>
              </w:rPr>
              <w:t>Porcentaje de estudiantes que cursan su estadía de prácticas profesionales</w:t>
            </w:r>
          </w:p>
        </w:tc>
        <w:tc>
          <w:tcPr>
            <w:tcW w:w="1887" w:type="pct"/>
            <w:vAlign w:val="center"/>
          </w:tcPr>
          <w:p w14:paraId="7FB73062" w14:textId="15EE3F5F" w:rsidR="00854757" w:rsidRPr="00074E91" w:rsidRDefault="00854757" w:rsidP="001B4485">
            <w:pPr>
              <w:spacing w:after="0" w:line="240" w:lineRule="auto"/>
              <w:rPr>
                <w:rFonts w:cs="Arial"/>
                <w:szCs w:val="20"/>
              </w:rPr>
            </w:pPr>
            <w:r w:rsidRPr="00074E91">
              <w:rPr>
                <w:rFonts w:cs="Arial"/>
                <w:szCs w:val="20"/>
              </w:rPr>
              <w:t>Mide la proporción de estudiantes que realizan su estadía de prácticas profesionales, respecto del total de alumnos sujetos a realizar prácticas profesionales, expresada como porcentaje.</w:t>
            </w:r>
          </w:p>
        </w:tc>
      </w:tr>
      <w:tr w:rsidR="00854757" w:rsidRPr="00074E91" w14:paraId="0F629679" w14:textId="77777777" w:rsidTr="000978CE">
        <w:trPr>
          <w:trHeight w:val="2102"/>
          <w:jc w:val="center"/>
        </w:trPr>
        <w:tc>
          <w:tcPr>
            <w:tcW w:w="1469" w:type="pct"/>
            <w:vMerge/>
            <w:vAlign w:val="center"/>
          </w:tcPr>
          <w:p w14:paraId="2D28D231" w14:textId="45E807C2" w:rsidR="00854757" w:rsidRPr="00074E91" w:rsidRDefault="00854757" w:rsidP="001B4485">
            <w:pPr>
              <w:spacing w:after="0" w:line="240" w:lineRule="auto"/>
              <w:rPr>
                <w:rFonts w:cs="Arial"/>
                <w:szCs w:val="20"/>
              </w:rPr>
            </w:pPr>
          </w:p>
        </w:tc>
        <w:tc>
          <w:tcPr>
            <w:tcW w:w="1644" w:type="pct"/>
            <w:vAlign w:val="center"/>
          </w:tcPr>
          <w:p w14:paraId="121461B8" w14:textId="10D1680B" w:rsidR="00854757" w:rsidRPr="00074E91" w:rsidRDefault="00854757" w:rsidP="001B4485">
            <w:pPr>
              <w:spacing w:after="0" w:line="240" w:lineRule="auto"/>
              <w:rPr>
                <w:rFonts w:cs="Arial"/>
                <w:szCs w:val="20"/>
              </w:rPr>
            </w:pPr>
            <w:r w:rsidRPr="00074E91">
              <w:rPr>
                <w:rFonts w:cs="Arial"/>
                <w:szCs w:val="20"/>
              </w:rPr>
              <w:t>Porcentaje de convenios suscritos para facilitar la participación estudiantil</w:t>
            </w:r>
          </w:p>
        </w:tc>
        <w:tc>
          <w:tcPr>
            <w:tcW w:w="1887" w:type="pct"/>
            <w:vAlign w:val="center"/>
          </w:tcPr>
          <w:p w14:paraId="32F580FF" w14:textId="4C9122AC" w:rsidR="00854757" w:rsidRPr="00074E91" w:rsidRDefault="00854757" w:rsidP="001B4485">
            <w:pPr>
              <w:spacing w:after="0" w:line="240" w:lineRule="auto"/>
              <w:rPr>
                <w:rFonts w:cs="Arial"/>
                <w:szCs w:val="20"/>
              </w:rPr>
            </w:pPr>
            <w:r w:rsidRPr="00074E91">
              <w:rPr>
                <w:rFonts w:cs="Arial"/>
                <w:szCs w:val="20"/>
              </w:rPr>
              <w:t>Mide la proporción de convenios de colaboración suscritos para la participación estudiantil en estadías, servicios externos y proyectos de investigación, respecto del total anual de convenios estimados para dichos fines, expresada como porcentaje.</w:t>
            </w:r>
          </w:p>
        </w:tc>
      </w:tr>
      <w:tr w:rsidR="00854757" w:rsidRPr="00074E91" w14:paraId="658CF09F" w14:textId="77777777" w:rsidTr="000978CE">
        <w:trPr>
          <w:trHeight w:val="2402"/>
          <w:jc w:val="center"/>
        </w:trPr>
        <w:tc>
          <w:tcPr>
            <w:tcW w:w="1469" w:type="pct"/>
            <w:vAlign w:val="center"/>
          </w:tcPr>
          <w:p w14:paraId="6EDBB3D4" w14:textId="76EBEE8E" w:rsidR="00854757" w:rsidRPr="00074E91" w:rsidRDefault="00854757" w:rsidP="001B4485">
            <w:pPr>
              <w:spacing w:after="0" w:line="240" w:lineRule="auto"/>
              <w:rPr>
                <w:rFonts w:cs="Arial"/>
                <w:szCs w:val="20"/>
              </w:rPr>
            </w:pPr>
            <w:r w:rsidRPr="00074E91">
              <w:rPr>
                <w:rFonts w:cs="Arial"/>
                <w:szCs w:val="20"/>
              </w:rPr>
              <w:t>Seguimiento de los egresados (para conocer el porcentaje de inserción laboral, el nivel salarial, la función que desempeñan en relación con su área de formación académica y el nivel de puesto que ocupan)</w:t>
            </w:r>
          </w:p>
        </w:tc>
        <w:tc>
          <w:tcPr>
            <w:tcW w:w="1644" w:type="pct"/>
            <w:vAlign w:val="center"/>
          </w:tcPr>
          <w:p w14:paraId="7D8EBBE1" w14:textId="542BC821" w:rsidR="00854757" w:rsidRPr="00074E91" w:rsidRDefault="00854757" w:rsidP="001B4485">
            <w:pPr>
              <w:spacing w:after="0" w:line="240" w:lineRule="auto"/>
              <w:rPr>
                <w:rFonts w:cs="Arial"/>
                <w:szCs w:val="20"/>
              </w:rPr>
            </w:pPr>
            <w:r w:rsidRPr="00074E91">
              <w:rPr>
                <w:rFonts w:cs="Arial"/>
                <w:szCs w:val="20"/>
              </w:rPr>
              <w:t>Porcentaje de avance en las encuestas de seguimiento de los alumnos egresados</w:t>
            </w:r>
          </w:p>
        </w:tc>
        <w:tc>
          <w:tcPr>
            <w:tcW w:w="1887" w:type="pct"/>
            <w:vAlign w:val="center"/>
          </w:tcPr>
          <w:p w14:paraId="67CAAE48" w14:textId="2EA96E49" w:rsidR="00854757" w:rsidRPr="00074E91" w:rsidRDefault="00854757" w:rsidP="001B4485">
            <w:pPr>
              <w:spacing w:after="0" w:line="240" w:lineRule="auto"/>
              <w:rPr>
                <w:rFonts w:cs="Arial"/>
                <w:szCs w:val="20"/>
              </w:rPr>
            </w:pPr>
            <w:r w:rsidRPr="00074E91">
              <w:rPr>
                <w:rFonts w:cs="Arial"/>
                <w:szCs w:val="20"/>
              </w:rPr>
              <w:t>Mide el avance en la aplicación de encuestas de seguimiento a alumnos egresados, a partir de la proporción de encuestas ejecutadas respecto del total de reportes de seguimiento previstos, expresada como porcentaje.</w:t>
            </w:r>
          </w:p>
        </w:tc>
      </w:tr>
      <w:tr w:rsidR="00854757" w:rsidRPr="00074E91" w14:paraId="7632A7B8" w14:textId="77777777" w:rsidTr="000978CE">
        <w:trPr>
          <w:trHeight w:val="1463"/>
          <w:jc w:val="center"/>
        </w:trPr>
        <w:tc>
          <w:tcPr>
            <w:tcW w:w="1469" w:type="pct"/>
            <w:vMerge w:val="restart"/>
            <w:vAlign w:val="center"/>
          </w:tcPr>
          <w:p w14:paraId="281304BC" w14:textId="34F8A742" w:rsidR="00854757" w:rsidRPr="00074E91" w:rsidRDefault="00854757" w:rsidP="001B4485">
            <w:pPr>
              <w:spacing w:after="0" w:line="240" w:lineRule="auto"/>
              <w:rPr>
                <w:rFonts w:cs="Arial"/>
                <w:szCs w:val="20"/>
              </w:rPr>
            </w:pPr>
            <w:r w:rsidRPr="00074E91">
              <w:rPr>
                <w:rFonts w:cs="Arial"/>
                <w:szCs w:val="20"/>
              </w:rPr>
              <w:lastRenderedPageBreak/>
              <w:t>Capacitación y habilitación de los docentes</w:t>
            </w:r>
          </w:p>
        </w:tc>
        <w:tc>
          <w:tcPr>
            <w:tcW w:w="1644" w:type="pct"/>
            <w:vAlign w:val="center"/>
          </w:tcPr>
          <w:p w14:paraId="7CA96EF8" w14:textId="4235666B" w:rsidR="00854757" w:rsidRPr="00074E91" w:rsidRDefault="00854757" w:rsidP="001B4485">
            <w:pPr>
              <w:spacing w:after="0" w:line="240" w:lineRule="auto"/>
              <w:rPr>
                <w:rFonts w:cs="Arial"/>
                <w:szCs w:val="20"/>
              </w:rPr>
            </w:pPr>
            <w:r w:rsidRPr="00074E91">
              <w:rPr>
                <w:rFonts w:cs="Arial"/>
                <w:szCs w:val="20"/>
              </w:rPr>
              <w:t>Porcentaje de profesores capacitados</w:t>
            </w:r>
          </w:p>
        </w:tc>
        <w:tc>
          <w:tcPr>
            <w:tcW w:w="1887" w:type="pct"/>
            <w:vAlign w:val="center"/>
          </w:tcPr>
          <w:p w14:paraId="0B1315A9" w14:textId="15A6EFBD" w:rsidR="00854757" w:rsidRPr="00074E91" w:rsidRDefault="00854757" w:rsidP="001B4485">
            <w:pPr>
              <w:spacing w:after="0" w:line="240" w:lineRule="auto"/>
              <w:rPr>
                <w:rFonts w:cs="Arial"/>
                <w:szCs w:val="20"/>
              </w:rPr>
            </w:pPr>
            <w:r w:rsidRPr="00074E91">
              <w:rPr>
                <w:rFonts w:cs="Arial"/>
                <w:szCs w:val="20"/>
              </w:rPr>
              <w:t>Mide la proporción de profesores que participan en acciones de capacitación, respecto del total de profesores de la Universidad, expresada como porcentaje.</w:t>
            </w:r>
          </w:p>
        </w:tc>
      </w:tr>
      <w:tr w:rsidR="00854757" w:rsidRPr="00074E91" w14:paraId="446AAAA9" w14:textId="77777777" w:rsidTr="000978CE">
        <w:trPr>
          <w:trHeight w:val="1837"/>
          <w:jc w:val="center"/>
        </w:trPr>
        <w:tc>
          <w:tcPr>
            <w:tcW w:w="1469" w:type="pct"/>
            <w:vMerge/>
            <w:vAlign w:val="center"/>
          </w:tcPr>
          <w:p w14:paraId="187AF4B9" w14:textId="6F08ED84" w:rsidR="00854757" w:rsidRPr="00074E91" w:rsidRDefault="00854757" w:rsidP="001B4485">
            <w:pPr>
              <w:spacing w:after="0" w:line="240" w:lineRule="auto"/>
              <w:rPr>
                <w:rFonts w:cs="Arial"/>
                <w:szCs w:val="20"/>
              </w:rPr>
            </w:pPr>
          </w:p>
        </w:tc>
        <w:tc>
          <w:tcPr>
            <w:tcW w:w="1644" w:type="pct"/>
            <w:vAlign w:val="center"/>
          </w:tcPr>
          <w:p w14:paraId="400B25AA" w14:textId="21D48932" w:rsidR="00854757" w:rsidRPr="00074E91" w:rsidRDefault="00854757" w:rsidP="001B4485">
            <w:pPr>
              <w:spacing w:after="0" w:line="240" w:lineRule="auto"/>
              <w:rPr>
                <w:rFonts w:cs="Arial"/>
                <w:szCs w:val="20"/>
              </w:rPr>
            </w:pPr>
            <w:r w:rsidRPr="00074E91">
              <w:rPr>
                <w:rFonts w:cs="Arial"/>
                <w:szCs w:val="20"/>
              </w:rPr>
              <w:t>Porcentaje de profesores habilitados</w:t>
            </w:r>
          </w:p>
        </w:tc>
        <w:tc>
          <w:tcPr>
            <w:tcW w:w="1887" w:type="pct"/>
            <w:vAlign w:val="center"/>
          </w:tcPr>
          <w:p w14:paraId="06B0B70A" w14:textId="71A00C84" w:rsidR="00854757" w:rsidRPr="00074E91" w:rsidRDefault="00854757" w:rsidP="001B4485">
            <w:pPr>
              <w:spacing w:after="0" w:line="240" w:lineRule="auto"/>
              <w:rPr>
                <w:rFonts w:cs="Arial"/>
                <w:szCs w:val="20"/>
              </w:rPr>
            </w:pPr>
            <w:r w:rsidRPr="00074E91">
              <w:rPr>
                <w:rFonts w:cs="Arial"/>
                <w:szCs w:val="20"/>
              </w:rPr>
              <w:t>Mide la proporción de profesores que acreditan la obtención de un grado educativo superior al registrado previamente, respecto del total de profesores de la Universidad, expresada como porcentaje.</w:t>
            </w:r>
          </w:p>
        </w:tc>
      </w:tr>
      <w:tr w:rsidR="00854757" w:rsidRPr="00074E91" w14:paraId="4667DF32" w14:textId="77777777" w:rsidTr="000978CE">
        <w:trPr>
          <w:trHeight w:val="1977"/>
          <w:jc w:val="center"/>
        </w:trPr>
        <w:tc>
          <w:tcPr>
            <w:tcW w:w="1469" w:type="pct"/>
            <w:vAlign w:val="center"/>
          </w:tcPr>
          <w:p w14:paraId="4837A778" w14:textId="240D1D7D" w:rsidR="00854757" w:rsidRPr="00074E91" w:rsidRDefault="00854757" w:rsidP="001B4485">
            <w:pPr>
              <w:spacing w:after="0" w:line="240" w:lineRule="auto"/>
              <w:rPr>
                <w:rFonts w:cs="Arial"/>
                <w:szCs w:val="20"/>
              </w:rPr>
            </w:pPr>
            <w:r w:rsidRPr="00074E91">
              <w:rPr>
                <w:rFonts w:cs="Arial"/>
                <w:szCs w:val="20"/>
              </w:rPr>
              <w:t>Construcción y/o mantenimiento de espacios, laboratorios, centros de investigación y desarrollo tecnológico en las áreas estratégicas para el desarrollo del estado</w:t>
            </w:r>
          </w:p>
        </w:tc>
        <w:tc>
          <w:tcPr>
            <w:tcW w:w="1644" w:type="pct"/>
            <w:vAlign w:val="center"/>
          </w:tcPr>
          <w:p w14:paraId="1A207978" w14:textId="26310FDD" w:rsidR="00854757" w:rsidRPr="00074E91" w:rsidRDefault="00854757" w:rsidP="001B4485">
            <w:pPr>
              <w:spacing w:after="0" w:line="240" w:lineRule="auto"/>
              <w:rPr>
                <w:rFonts w:cs="Arial"/>
                <w:szCs w:val="20"/>
              </w:rPr>
            </w:pPr>
            <w:r w:rsidRPr="00074E91">
              <w:rPr>
                <w:rFonts w:cs="Arial"/>
                <w:szCs w:val="20"/>
              </w:rPr>
              <w:t>Porcentaje de avance de las acciones de mantenimiento y conservación</w:t>
            </w:r>
          </w:p>
        </w:tc>
        <w:tc>
          <w:tcPr>
            <w:tcW w:w="1887" w:type="pct"/>
            <w:vAlign w:val="center"/>
          </w:tcPr>
          <w:p w14:paraId="6AE0A005" w14:textId="433A67C1" w:rsidR="00854757" w:rsidRPr="00074E91" w:rsidRDefault="00854757" w:rsidP="001B4485">
            <w:pPr>
              <w:spacing w:after="0" w:line="240" w:lineRule="auto"/>
              <w:rPr>
                <w:rFonts w:cs="Arial"/>
                <w:szCs w:val="20"/>
              </w:rPr>
            </w:pPr>
            <w:r w:rsidRPr="00074E91">
              <w:rPr>
                <w:rFonts w:cs="Arial"/>
                <w:szCs w:val="20"/>
              </w:rPr>
              <w:t>Mide el grado de cumplimiento de las acciones de mantenimiento y conservación programadas para la infraestructura y el equipamiento, a partir de la relación entre las acciones ejecutadas y las acciones requeridas en el año, expresada como porcentaje.</w:t>
            </w:r>
          </w:p>
        </w:tc>
      </w:tr>
      <w:tr w:rsidR="00854757" w:rsidRPr="00074E91" w14:paraId="5F17EB4B" w14:textId="77777777" w:rsidTr="000978CE">
        <w:trPr>
          <w:trHeight w:val="1962"/>
          <w:jc w:val="center"/>
        </w:trPr>
        <w:tc>
          <w:tcPr>
            <w:tcW w:w="1469" w:type="pct"/>
            <w:vAlign w:val="center"/>
          </w:tcPr>
          <w:p w14:paraId="121C46F8" w14:textId="32AB221E" w:rsidR="00854757" w:rsidRPr="00074E91" w:rsidRDefault="00854757" w:rsidP="001B4485">
            <w:pPr>
              <w:spacing w:after="0" w:line="240" w:lineRule="auto"/>
              <w:rPr>
                <w:rFonts w:cs="Arial"/>
                <w:szCs w:val="20"/>
              </w:rPr>
            </w:pPr>
            <w:r w:rsidRPr="00074E91">
              <w:rPr>
                <w:rFonts w:cs="Arial"/>
                <w:szCs w:val="20"/>
              </w:rPr>
              <w:t>Provisión de servicio de internet con fines educativos</w:t>
            </w:r>
          </w:p>
        </w:tc>
        <w:tc>
          <w:tcPr>
            <w:tcW w:w="1644" w:type="pct"/>
            <w:vAlign w:val="center"/>
          </w:tcPr>
          <w:p w14:paraId="61DB5A1B" w14:textId="6A48ABEB" w:rsidR="00854757" w:rsidRPr="00074E91" w:rsidRDefault="00854757" w:rsidP="001B4485">
            <w:pPr>
              <w:spacing w:after="0" w:line="240" w:lineRule="auto"/>
              <w:rPr>
                <w:rFonts w:cs="Arial"/>
                <w:szCs w:val="20"/>
              </w:rPr>
            </w:pPr>
            <w:r w:rsidRPr="00074E91">
              <w:rPr>
                <w:rFonts w:cs="Arial"/>
                <w:szCs w:val="20"/>
              </w:rPr>
              <w:t>Suficiencia del internet abierto de alta velocidad</w:t>
            </w:r>
          </w:p>
        </w:tc>
        <w:tc>
          <w:tcPr>
            <w:tcW w:w="1887" w:type="pct"/>
            <w:vAlign w:val="center"/>
          </w:tcPr>
          <w:p w14:paraId="371C989F" w14:textId="00F83A1B" w:rsidR="00854757" w:rsidRPr="00074E91" w:rsidRDefault="00854757" w:rsidP="001B4485">
            <w:pPr>
              <w:spacing w:after="0" w:line="240" w:lineRule="auto"/>
              <w:rPr>
                <w:rFonts w:cs="Arial"/>
                <w:szCs w:val="20"/>
              </w:rPr>
            </w:pPr>
            <w:r w:rsidRPr="00074E91">
              <w:rPr>
                <w:rFonts w:cs="Arial"/>
                <w:szCs w:val="20"/>
              </w:rPr>
              <w:t>Mide la suficiencia del servicio de internet abierto de alta velocidad en la Universidad, mediante la proporción de usuarios promedio con conexión a internet de alta velocidad respecto del total de usuarios potenciales, expresada como porcentaje.</w:t>
            </w:r>
          </w:p>
        </w:tc>
      </w:tr>
      <w:tr w:rsidR="00854757" w:rsidRPr="00074E91" w14:paraId="33BF66C6" w14:textId="77777777" w:rsidTr="000978CE">
        <w:trPr>
          <w:trHeight w:val="1708"/>
          <w:jc w:val="center"/>
        </w:trPr>
        <w:tc>
          <w:tcPr>
            <w:tcW w:w="1469" w:type="pct"/>
            <w:vMerge w:val="restart"/>
            <w:vAlign w:val="center"/>
          </w:tcPr>
          <w:p w14:paraId="6C60F1EE" w14:textId="4DD9C838" w:rsidR="00854757" w:rsidRPr="00074E91" w:rsidRDefault="00854757" w:rsidP="001B4485">
            <w:pPr>
              <w:spacing w:after="0" w:line="240" w:lineRule="auto"/>
              <w:rPr>
                <w:rFonts w:cs="Arial"/>
                <w:szCs w:val="20"/>
              </w:rPr>
            </w:pPr>
            <w:r w:rsidRPr="00074E91">
              <w:rPr>
                <w:rFonts w:cs="Arial"/>
                <w:szCs w:val="20"/>
              </w:rPr>
              <w:t>Disposición de acervos bibliográficos (físicos y electrónicos)</w:t>
            </w:r>
          </w:p>
        </w:tc>
        <w:tc>
          <w:tcPr>
            <w:tcW w:w="1644" w:type="pct"/>
            <w:vAlign w:val="center"/>
          </w:tcPr>
          <w:p w14:paraId="5E2E24C8" w14:textId="36E2DED8" w:rsidR="00854757" w:rsidRPr="00074E91" w:rsidRDefault="00854757" w:rsidP="001B4485">
            <w:pPr>
              <w:spacing w:after="0" w:line="240" w:lineRule="auto"/>
              <w:rPr>
                <w:rFonts w:cs="Arial"/>
                <w:szCs w:val="20"/>
              </w:rPr>
            </w:pPr>
            <w:r w:rsidRPr="00074E91">
              <w:rPr>
                <w:rFonts w:cs="Arial"/>
                <w:szCs w:val="20"/>
              </w:rPr>
              <w:t>Promedio de acervo bibliográfico físico por estudiantes y maestros</w:t>
            </w:r>
          </w:p>
        </w:tc>
        <w:tc>
          <w:tcPr>
            <w:tcW w:w="1887" w:type="pct"/>
            <w:vAlign w:val="center"/>
          </w:tcPr>
          <w:p w14:paraId="2B45E719" w14:textId="388BC2E3" w:rsidR="00854757" w:rsidRPr="00074E91" w:rsidRDefault="00854757" w:rsidP="001B4485">
            <w:pPr>
              <w:spacing w:after="0" w:line="240" w:lineRule="auto"/>
              <w:rPr>
                <w:rFonts w:cs="Arial"/>
                <w:szCs w:val="20"/>
              </w:rPr>
            </w:pPr>
            <w:r w:rsidRPr="00074E91">
              <w:rPr>
                <w:rFonts w:cs="Arial"/>
                <w:szCs w:val="20"/>
              </w:rPr>
              <w:t>Mide la disponibilidad de acervo bibliográfico físico por persona, a partir de la relación entre el número de títulos físicos existentes y el total de estudiantes y maestros de la Universidad.</w:t>
            </w:r>
          </w:p>
        </w:tc>
      </w:tr>
      <w:tr w:rsidR="00854757" w:rsidRPr="00074E91" w14:paraId="445B2D1E" w14:textId="77777777" w:rsidTr="000978CE">
        <w:trPr>
          <w:trHeight w:val="2101"/>
          <w:jc w:val="center"/>
        </w:trPr>
        <w:tc>
          <w:tcPr>
            <w:tcW w:w="1469" w:type="pct"/>
            <w:vMerge/>
            <w:vAlign w:val="center"/>
          </w:tcPr>
          <w:p w14:paraId="458D7C7A" w14:textId="65AEB8D1" w:rsidR="00854757" w:rsidRPr="00074E91" w:rsidRDefault="00854757" w:rsidP="001B4485">
            <w:pPr>
              <w:spacing w:after="0" w:line="240" w:lineRule="auto"/>
              <w:rPr>
                <w:rFonts w:cs="Arial"/>
                <w:szCs w:val="20"/>
              </w:rPr>
            </w:pPr>
          </w:p>
        </w:tc>
        <w:tc>
          <w:tcPr>
            <w:tcW w:w="1644" w:type="pct"/>
            <w:vAlign w:val="center"/>
          </w:tcPr>
          <w:p w14:paraId="5FED39C6" w14:textId="3E0C07EB" w:rsidR="00854757" w:rsidRPr="00074E91" w:rsidRDefault="00854757" w:rsidP="001B4485">
            <w:pPr>
              <w:spacing w:after="0" w:line="240" w:lineRule="auto"/>
              <w:rPr>
                <w:rFonts w:cs="Arial"/>
                <w:szCs w:val="20"/>
              </w:rPr>
            </w:pPr>
            <w:r w:rsidRPr="00074E91">
              <w:rPr>
                <w:rFonts w:cs="Arial"/>
                <w:szCs w:val="20"/>
              </w:rPr>
              <w:t>Porcentaje de avance en la suscripción de acervos electrónicos</w:t>
            </w:r>
          </w:p>
        </w:tc>
        <w:tc>
          <w:tcPr>
            <w:tcW w:w="1887" w:type="pct"/>
            <w:vAlign w:val="center"/>
          </w:tcPr>
          <w:p w14:paraId="2ACE3886" w14:textId="6E98A0EE" w:rsidR="00854757" w:rsidRPr="00074E91" w:rsidRDefault="00854757" w:rsidP="001B4485">
            <w:pPr>
              <w:spacing w:after="0" w:line="240" w:lineRule="auto"/>
              <w:rPr>
                <w:rFonts w:cs="Arial"/>
                <w:szCs w:val="20"/>
              </w:rPr>
            </w:pPr>
            <w:r w:rsidRPr="00074E91">
              <w:rPr>
                <w:rFonts w:cs="Arial"/>
                <w:szCs w:val="20"/>
              </w:rPr>
              <w:t>Mide el avance en la suscripción de acervos electrónicos (libros, revistas o bibliotecas virtuales), mediante la proporción de suscripciones vigentes respecto del total anual de suscripciones estimadas, expresada como porcentaje.</w:t>
            </w:r>
          </w:p>
        </w:tc>
      </w:tr>
      <w:tr w:rsidR="00854757" w:rsidRPr="00074E91" w14:paraId="7F44FD11" w14:textId="77777777" w:rsidTr="000978CE">
        <w:trPr>
          <w:trHeight w:val="2030"/>
          <w:jc w:val="center"/>
        </w:trPr>
        <w:tc>
          <w:tcPr>
            <w:tcW w:w="1469" w:type="pct"/>
            <w:vAlign w:val="center"/>
          </w:tcPr>
          <w:p w14:paraId="6210D0C6" w14:textId="7062AD24" w:rsidR="00854757" w:rsidRPr="00074E91" w:rsidRDefault="00854757" w:rsidP="001B4485">
            <w:pPr>
              <w:spacing w:after="0" w:line="240" w:lineRule="auto"/>
              <w:rPr>
                <w:rFonts w:cs="Arial"/>
                <w:szCs w:val="20"/>
              </w:rPr>
            </w:pPr>
            <w:r w:rsidRPr="00074E91">
              <w:rPr>
                <w:rFonts w:cs="Arial"/>
                <w:szCs w:val="20"/>
              </w:rPr>
              <w:lastRenderedPageBreak/>
              <w:t>Promoción de la actualización del marco regulatorio interno</w:t>
            </w:r>
          </w:p>
        </w:tc>
        <w:tc>
          <w:tcPr>
            <w:tcW w:w="1644" w:type="pct"/>
            <w:vAlign w:val="center"/>
          </w:tcPr>
          <w:p w14:paraId="3A26226F" w14:textId="14992076" w:rsidR="00854757" w:rsidRPr="00074E91" w:rsidRDefault="00854757" w:rsidP="001B4485">
            <w:pPr>
              <w:spacing w:after="0" w:line="240" w:lineRule="auto"/>
              <w:rPr>
                <w:rFonts w:cs="Arial"/>
                <w:szCs w:val="20"/>
              </w:rPr>
            </w:pPr>
            <w:r w:rsidRPr="00074E91">
              <w:rPr>
                <w:rFonts w:cs="Arial"/>
                <w:szCs w:val="20"/>
              </w:rPr>
              <w:t>Porcentaje de actualización del marco normativo interno</w:t>
            </w:r>
          </w:p>
        </w:tc>
        <w:tc>
          <w:tcPr>
            <w:tcW w:w="1887" w:type="pct"/>
            <w:vAlign w:val="center"/>
          </w:tcPr>
          <w:p w14:paraId="6403C261" w14:textId="517F1560" w:rsidR="00854757" w:rsidRPr="00074E91" w:rsidRDefault="00854757" w:rsidP="001B4485">
            <w:pPr>
              <w:spacing w:after="0" w:line="240" w:lineRule="auto"/>
              <w:rPr>
                <w:rFonts w:cs="Arial"/>
                <w:szCs w:val="20"/>
              </w:rPr>
            </w:pPr>
            <w:r w:rsidRPr="00074E91">
              <w:rPr>
                <w:rFonts w:cs="Arial"/>
                <w:szCs w:val="20"/>
              </w:rPr>
              <w:t>Mide el avance en la emisión o actualización de documentos regulatorios internos, mediante la proporción de documentos emitidos o actualizados respecto del total anual de documentos previstos para emitir o actualizar, expresada como porcentaje.</w:t>
            </w:r>
          </w:p>
        </w:tc>
      </w:tr>
      <w:tr w:rsidR="00854757" w:rsidRPr="00074E91" w14:paraId="31DD4530" w14:textId="77777777" w:rsidTr="000978CE">
        <w:trPr>
          <w:trHeight w:val="1831"/>
          <w:jc w:val="center"/>
        </w:trPr>
        <w:tc>
          <w:tcPr>
            <w:tcW w:w="1469" w:type="pct"/>
            <w:vAlign w:val="center"/>
          </w:tcPr>
          <w:p w14:paraId="707E2C26" w14:textId="1363DACB" w:rsidR="00854757" w:rsidRPr="00074E91" w:rsidRDefault="00854757" w:rsidP="001B4485">
            <w:pPr>
              <w:spacing w:after="0" w:line="240" w:lineRule="auto"/>
              <w:rPr>
                <w:rFonts w:cs="Arial"/>
                <w:szCs w:val="20"/>
              </w:rPr>
            </w:pPr>
            <w:r w:rsidRPr="00074E91">
              <w:rPr>
                <w:rFonts w:cs="Arial"/>
                <w:szCs w:val="20"/>
              </w:rPr>
              <w:t>Disposición del personal administrativo suficiente para atender las obligaciones</w:t>
            </w:r>
          </w:p>
        </w:tc>
        <w:tc>
          <w:tcPr>
            <w:tcW w:w="1644" w:type="pct"/>
            <w:vAlign w:val="center"/>
          </w:tcPr>
          <w:p w14:paraId="3370A3D1" w14:textId="78CD6C31" w:rsidR="00854757" w:rsidRPr="00074E91" w:rsidRDefault="00854757" w:rsidP="001B4485">
            <w:pPr>
              <w:spacing w:after="0" w:line="240" w:lineRule="auto"/>
              <w:rPr>
                <w:rFonts w:cs="Arial"/>
                <w:szCs w:val="20"/>
              </w:rPr>
            </w:pPr>
            <w:r w:rsidRPr="00074E91">
              <w:rPr>
                <w:rFonts w:cs="Arial"/>
                <w:szCs w:val="20"/>
              </w:rPr>
              <w:t>Suficiencia de las plazas administrativas</w:t>
            </w:r>
          </w:p>
        </w:tc>
        <w:tc>
          <w:tcPr>
            <w:tcW w:w="1887" w:type="pct"/>
            <w:vAlign w:val="center"/>
          </w:tcPr>
          <w:p w14:paraId="03496611" w14:textId="7BBC9AD1" w:rsidR="00854757" w:rsidRPr="00074E91" w:rsidRDefault="00854757" w:rsidP="001B4485">
            <w:pPr>
              <w:spacing w:after="0" w:line="240" w:lineRule="auto"/>
              <w:rPr>
                <w:rFonts w:cs="Arial"/>
                <w:szCs w:val="20"/>
              </w:rPr>
            </w:pPr>
            <w:r w:rsidRPr="00074E91">
              <w:rPr>
                <w:rFonts w:cs="Arial"/>
                <w:szCs w:val="20"/>
              </w:rPr>
              <w:t>Mide la suficiencia de la plantilla administrativa mediante la proporción de plazas administrativas ocupadas respecto del total de plazas administrativas requeridas, expresada como porcentaje.</w:t>
            </w:r>
          </w:p>
        </w:tc>
      </w:tr>
      <w:tr w:rsidR="00854757" w:rsidRPr="00074E91" w14:paraId="6CDE7D8D" w14:textId="77777777" w:rsidTr="000978CE">
        <w:trPr>
          <w:trHeight w:val="1687"/>
          <w:jc w:val="center"/>
        </w:trPr>
        <w:tc>
          <w:tcPr>
            <w:tcW w:w="1469" w:type="pct"/>
            <w:vMerge w:val="restart"/>
            <w:vAlign w:val="center"/>
          </w:tcPr>
          <w:p w14:paraId="704748C6" w14:textId="0D8C506B" w:rsidR="00854757" w:rsidRPr="00074E91" w:rsidRDefault="00854757" w:rsidP="001B4485">
            <w:pPr>
              <w:spacing w:after="0" w:line="240" w:lineRule="auto"/>
              <w:rPr>
                <w:rFonts w:cs="Arial"/>
                <w:szCs w:val="20"/>
              </w:rPr>
            </w:pPr>
            <w:r w:rsidRPr="00074E91">
              <w:rPr>
                <w:rFonts w:cs="Arial"/>
                <w:szCs w:val="20"/>
              </w:rPr>
              <w:t>Gestión de recursos presupuestales suficientes para atender las necesidades académicas y administrativas</w:t>
            </w:r>
          </w:p>
        </w:tc>
        <w:tc>
          <w:tcPr>
            <w:tcW w:w="1644" w:type="pct"/>
            <w:vAlign w:val="center"/>
          </w:tcPr>
          <w:p w14:paraId="79BFCD29" w14:textId="5AF5E286" w:rsidR="00854757" w:rsidRPr="00074E91" w:rsidRDefault="00854757" w:rsidP="001B4485">
            <w:pPr>
              <w:spacing w:after="0" w:line="240" w:lineRule="auto"/>
              <w:rPr>
                <w:rFonts w:cs="Arial"/>
                <w:szCs w:val="20"/>
              </w:rPr>
            </w:pPr>
            <w:r w:rsidRPr="00074E91">
              <w:rPr>
                <w:rFonts w:cs="Arial"/>
                <w:szCs w:val="20"/>
              </w:rPr>
              <w:t>Tasa de variación de las aportaciones federales y estatales asignadas a la Universidad</w:t>
            </w:r>
          </w:p>
        </w:tc>
        <w:tc>
          <w:tcPr>
            <w:tcW w:w="1887" w:type="pct"/>
            <w:vAlign w:val="center"/>
          </w:tcPr>
          <w:p w14:paraId="4E2E9A33" w14:textId="26001DBA" w:rsidR="00854757" w:rsidRPr="00074E91" w:rsidRDefault="00854757" w:rsidP="001B4485">
            <w:pPr>
              <w:spacing w:after="0" w:line="240" w:lineRule="auto"/>
              <w:rPr>
                <w:rFonts w:cs="Arial"/>
                <w:szCs w:val="20"/>
              </w:rPr>
            </w:pPr>
            <w:r w:rsidRPr="00074E91">
              <w:rPr>
                <w:rFonts w:cs="Arial"/>
                <w:szCs w:val="20"/>
              </w:rPr>
              <w:t>Mide el cambio porcentual en las aportaciones federales y estatales recaudadas por la Universidad entre un periodo y el mismo periodo del ejercicio anterior, con base en la diferencia entre ambos montos.</w:t>
            </w:r>
          </w:p>
        </w:tc>
      </w:tr>
      <w:tr w:rsidR="00854757" w:rsidRPr="00074E91" w14:paraId="2F0CCA6B" w14:textId="77777777" w:rsidTr="000978CE">
        <w:trPr>
          <w:trHeight w:val="1698"/>
          <w:jc w:val="center"/>
        </w:trPr>
        <w:tc>
          <w:tcPr>
            <w:tcW w:w="1469" w:type="pct"/>
            <w:vMerge/>
            <w:vAlign w:val="center"/>
          </w:tcPr>
          <w:p w14:paraId="5EE5AECA" w14:textId="5D03B6E0" w:rsidR="00854757" w:rsidRPr="00074E91" w:rsidRDefault="00854757" w:rsidP="001B4485">
            <w:pPr>
              <w:spacing w:after="0" w:line="240" w:lineRule="auto"/>
              <w:rPr>
                <w:rFonts w:cs="Arial"/>
                <w:szCs w:val="20"/>
              </w:rPr>
            </w:pPr>
          </w:p>
        </w:tc>
        <w:tc>
          <w:tcPr>
            <w:tcW w:w="1644" w:type="pct"/>
            <w:vAlign w:val="center"/>
          </w:tcPr>
          <w:p w14:paraId="2C6F63C2" w14:textId="0E377D5C" w:rsidR="00854757" w:rsidRPr="00074E91" w:rsidRDefault="00854757" w:rsidP="001B4485">
            <w:pPr>
              <w:spacing w:after="0" w:line="240" w:lineRule="auto"/>
              <w:rPr>
                <w:rFonts w:cs="Arial"/>
                <w:szCs w:val="20"/>
              </w:rPr>
            </w:pPr>
            <w:r w:rsidRPr="00074E91">
              <w:rPr>
                <w:rFonts w:cs="Arial"/>
                <w:szCs w:val="20"/>
              </w:rPr>
              <w:t>Costo promedio por alumno</w:t>
            </w:r>
          </w:p>
        </w:tc>
        <w:tc>
          <w:tcPr>
            <w:tcW w:w="1887" w:type="pct"/>
            <w:vAlign w:val="center"/>
          </w:tcPr>
          <w:p w14:paraId="4852E44A" w14:textId="01D0F796" w:rsidR="00854757" w:rsidRPr="00074E91" w:rsidRDefault="00854757" w:rsidP="001B4485">
            <w:pPr>
              <w:spacing w:after="0" w:line="240" w:lineRule="auto"/>
              <w:rPr>
                <w:rFonts w:cs="Arial"/>
                <w:szCs w:val="20"/>
              </w:rPr>
            </w:pPr>
            <w:r w:rsidRPr="00074E91">
              <w:rPr>
                <w:rFonts w:cs="Arial"/>
                <w:szCs w:val="20"/>
              </w:rPr>
              <w:t>Mide el costo promedio de atención por alumno, a partir de la relación entre las aportaciones federales y estatales recaudadas por la Universidad y la matrícula promedio de la institución.</w:t>
            </w:r>
          </w:p>
        </w:tc>
      </w:tr>
      <w:tr w:rsidR="00854757" w:rsidRPr="00074E91" w14:paraId="2DAAC602" w14:textId="77777777" w:rsidTr="000978CE">
        <w:trPr>
          <w:trHeight w:val="1977"/>
          <w:jc w:val="center"/>
        </w:trPr>
        <w:tc>
          <w:tcPr>
            <w:tcW w:w="1469" w:type="pct"/>
            <w:vAlign w:val="center"/>
          </w:tcPr>
          <w:p w14:paraId="2D1BA4B7" w14:textId="48B6DBB5" w:rsidR="00854757" w:rsidRPr="00074E91" w:rsidRDefault="00854757" w:rsidP="001B4485">
            <w:pPr>
              <w:spacing w:after="0" w:line="240" w:lineRule="auto"/>
              <w:rPr>
                <w:rFonts w:cs="Arial"/>
                <w:szCs w:val="20"/>
              </w:rPr>
            </w:pPr>
            <w:r w:rsidRPr="00074E91">
              <w:rPr>
                <w:rFonts w:cs="Arial"/>
                <w:szCs w:val="20"/>
              </w:rPr>
              <w:t>Gestión de la regularización de la propiedad legal y uso del suelo</w:t>
            </w:r>
          </w:p>
        </w:tc>
        <w:tc>
          <w:tcPr>
            <w:tcW w:w="1644" w:type="pct"/>
            <w:vAlign w:val="center"/>
          </w:tcPr>
          <w:p w14:paraId="188ABD06" w14:textId="2A177AA9" w:rsidR="00854757" w:rsidRPr="00074E91" w:rsidRDefault="00854757" w:rsidP="001B4485">
            <w:pPr>
              <w:spacing w:after="0" w:line="240" w:lineRule="auto"/>
              <w:rPr>
                <w:rFonts w:cs="Arial"/>
                <w:szCs w:val="20"/>
              </w:rPr>
            </w:pPr>
            <w:r w:rsidRPr="00074E91">
              <w:rPr>
                <w:rFonts w:cs="Arial"/>
                <w:szCs w:val="20"/>
              </w:rPr>
              <w:t>Porcentaje de regularización de predios</w:t>
            </w:r>
          </w:p>
        </w:tc>
        <w:tc>
          <w:tcPr>
            <w:tcW w:w="1887" w:type="pct"/>
            <w:vAlign w:val="center"/>
          </w:tcPr>
          <w:p w14:paraId="1D826008" w14:textId="61C96FF2" w:rsidR="00854757" w:rsidRPr="00074E91" w:rsidRDefault="00854757" w:rsidP="001B4485">
            <w:pPr>
              <w:spacing w:after="0" w:line="240" w:lineRule="auto"/>
              <w:rPr>
                <w:rFonts w:cs="Arial"/>
                <w:szCs w:val="20"/>
              </w:rPr>
            </w:pPr>
            <w:r w:rsidRPr="00074E91">
              <w:rPr>
                <w:rFonts w:cs="Arial"/>
                <w:szCs w:val="20"/>
              </w:rPr>
              <w:t>Mide el avance en la regularización legal de los predios de la Universidad, mediante la proporción de predios regularizados respecto del total de predios por regularizar, expresada como porcentaje.</w:t>
            </w:r>
          </w:p>
        </w:tc>
      </w:tr>
    </w:tbl>
    <w:p w14:paraId="0B7B0FEC" w14:textId="77777777" w:rsidR="00043D65" w:rsidRPr="00074E91" w:rsidRDefault="00043D65" w:rsidP="00043D65">
      <w:pPr>
        <w:spacing w:after="0" w:line="240" w:lineRule="auto"/>
        <w:rPr>
          <w:rFonts w:cs="Arial"/>
          <w:lang w:val="es-ES"/>
        </w:rPr>
      </w:pPr>
    </w:p>
    <w:p w14:paraId="115EC97B" w14:textId="77777777" w:rsidR="00F43EAE" w:rsidRPr="00074E91" w:rsidRDefault="00F43EAE">
      <w:pPr>
        <w:spacing w:line="276" w:lineRule="auto"/>
        <w:jc w:val="left"/>
        <w:rPr>
          <w:rFonts w:eastAsiaTheme="majorEastAsia" w:cs="Arial"/>
          <w:b/>
          <w:bCs/>
          <w:color w:val="595959" w:themeColor="text1" w:themeTint="A6"/>
          <w:lang w:val="es-ES"/>
        </w:rPr>
      </w:pPr>
      <w:r w:rsidRPr="00074E91">
        <w:rPr>
          <w:rFonts w:cs="Arial"/>
          <w:lang w:val="es-ES"/>
        </w:rPr>
        <w:br w:type="page"/>
      </w:r>
    </w:p>
    <w:p w14:paraId="0B1E985F" w14:textId="2329B057" w:rsidR="00496E63" w:rsidRPr="00074E91" w:rsidRDefault="00496E63" w:rsidP="00496E63">
      <w:pPr>
        <w:pStyle w:val="Ttulo3"/>
        <w:rPr>
          <w:rFonts w:cs="Arial"/>
          <w:lang w:val="es-ES"/>
        </w:rPr>
      </w:pPr>
      <w:bookmarkStart w:id="49" w:name="_Toc227668601"/>
      <w:r w:rsidRPr="00074E91">
        <w:rPr>
          <w:rFonts w:cs="Arial"/>
          <w:lang w:val="es-ES"/>
        </w:rPr>
        <w:lastRenderedPageBreak/>
        <w:t>Sección II. Problema o necesidad pública</w:t>
      </w:r>
      <w:bookmarkEnd w:id="49"/>
    </w:p>
    <w:p w14:paraId="2FC81A80" w14:textId="77777777" w:rsidR="00496E63" w:rsidRPr="00074E91" w:rsidRDefault="00496E63" w:rsidP="00190ACD">
      <w:pPr>
        <w:pStyle w:val="Prrafodelista"/>
        <w:numPr>
          <w:ilvl w:val="0"/>
          <w:numId w:val="12"/>
        </w:numPr>
        <w:spacing w:after="0" w:line="360" w:lineRule="auto"/>
        <w:ind w:left="714" w:hanging="357"/>
        <w:rPr>
          <w:rFonts w:cs="Arial"/>
          <w:b/>
          <w:lang w:val="es-ES"/>
        </w:rPr>
      </w:pPr>
      <w:r w:rsidRPr="00074E91">
        <w:rPr>
          <w:rFonts w:cs="Arial"/>
          <w:b/>
          <w:lang w:val="es-ES"/>
        </w:rPr>
        <w:t>Verificación del diagnóstico</w:t>
      </w:r>
    </w:p>
    <w:p w14:paraId="2AAD7DDD" w14:textId="77777777" w:rsidR="00496E63" w:rsidRPr="00074E91" w:rsidRDefault="00496E63" w:rsidP="00496E63">
      <w:pPr>
        <w:spacing w:after="0" w:line="240" w:lineRule="auto"/>
        <w:rPr>
          <w:rFonts w:cs="Arial"/>
          <w:lang w:val="es-ES"/>
        </w:rPr>
      </w:pPr>
    </w:p>
    <w:p w14:paraId="5CC24733" w14:textId="77777777" w:rsidR="00496E63" w:rsidRPr="00074E91" w:rsidRDefault="00496E63" w:rsidP="00190ACD">
      <w:pPr>
        <w:pStyle w:val="Prrafodelista"/>
        <w:numPr>
          <w:ilvl w:val="0"/>
          <w:numId w:val="13"/>
        </w:numPr>
        <w:spacing w:line="360" w:lineRule="auto"/>
        <w:rPr>
          <w:rFonts w:cs="Arial"/>
          <w:b/>
        </w:rPr>
      </w:pPr>
      <w:r w:rsidRPr="00074E91">
        <w:rPr>
          <w:rFonts w:cs="Arial"/>
          <w:b/>
        </w:rPr>
        <w:t>¿El Pp cuenta con un documento diagnóstico que presente el problema o necesidad pública que justifica el diseño del Pp?</w:t>
      </w:r>
    </w:p>
    <w:p w14:paraId="2432470C" w14:textId="77777777" w:rsidR="00496E63" w:rsidRPr="00074E91" w:rsidRDefault="00496E63" w:rsidP="00670D50">
      <w:pPr>
        <w:spacing w:before="240" w:after="120"/>
        <w:rPr>
          <w:rFonts w:cs="Arial"/>
          <w:b/>
          <w:u w:val="single"/>
        </w:rPr>
      </w:pPr>
      <w:r w:rsidRPr="00074E91">
        <w:rPr>
          <w:rFonts w:cs="Arial"/>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1259"/>
        <w:gridCol w:w="6978"/>
      </w:tblGrid>
      <w:tr w:rsidR="00496E63" w:rsidRPr="00074E91" w14:paraId="4EB66426" w14:textId="77777777" w:rsidTr="00043D65">
        <w:trPr>
          <w:trHeight w:val="340"/>
          <w:tblHeader/>
          <w:jc w:val="right"/>
        </w:trPr>
        <w:tc>
          <w:tcPr>
            <w:tcW w:w="764" w:type="pct"/>
            <w:shd w:val="clear" w:color="auto" w:fill="7F7F7F" w:themeFill="text1" w:themeFillTint="80"/>
            <w:vAlign w:val="center"/>
          </w:tcPr>
          <w:p w14:paraId="37DC50D5" w14:textId="77777777" w:rsidR="00496E63" w:rsidRPr="00074E91" w:rsidRDefault="00496E63"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074E91">
              <w:rPr>
                <w:rFonts w:eastAsia="Times" w:cs="Arial"/>
                <w:b/>
                <w:iCs/>
                <w:color w:val="FFFFFF" w:themeColor="background1"/>
                <w:szCs w:val="20"/>
                <w:lang w:eastAsia="es-MX"/>
              </w:rPr>
              <w:t>Respuesta</w:t>
            </w:r>
          </w:p>
        </w:tc>
        <w:tc>
          <w:tcPr>
            <w:tcW w:w="4236" w:type="pct"/>
            <w:shd w:val="clear" w:color="auto" w:fill="7F7F7F" w:themeFill="text1" w:themeFillTint="80"/>
            <w:vAlign w:val="center"/>
          </w:tcPr>
          <w:p w14:paraId="1A15BB12" w14:textId="77777777" w:rsidR="00496E63" w:rsidRPr="00074E91" w:rsidRDefault="00496E63"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074E91">
              <w:rPr>
                <w:rFonts w:eastAsia="Times" w:cs="Arial"/>
                <w:b/>
                <w:iCs/>
                <w:color w:val="FFFFFF" w:themeColor="background1"/>
                <w:szCs w:val="20"/>
                <w:lang w:eastAsia="es-MX"/>
              </w:rPr>
              <w:t>Consideraciones</w:t>
            </w:r>
          </w:p>
        </w:tc>
      </w:tr>
      <w:tr w:rsidR="00496E63" w:rsidRPr="00074E91" w14:paraId="2EAB4DA3" w14:textId="77777777" w:rsidTr="008C6F70">
        <w:trPr>
          <w:jc w:val="right"/>
        </w:trPr>
        <w:tc>
          <w:tcPr>
            <w:tcW w:w="764" w:type="pct"/>
            <w:vAlign w:val="center"/>
          </w:tcPr>
          <w:p w14:paraId="462CF200" w14:textId="77777777" w:rsidR="00496E63" w:rsidRPr="00074E91" w:rsidRDefault="008C6F70"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sidRPr="00074E91">
              <w:rPr>
                <w:rFonts w:eastAsia="Calibri" w:cs="Arial"/>
                <w:szCs w:val="20"/>
                <w:lang w:eastAsia="es-MX"/>
              </w:rPr>
              <w:t>Sí</w:t>
            </w:r>
          </w:p>
        </w:tc>
        <w:tc>
          <w:tcPr>
            <w:tcW w:w="4236" w:type="pct"/>
            <w:vAlign w:val="center"/>
          </w:tcPr>
          <w:p w14:paraId="454CCEEE" w14:textId="77777777" w:rsidR="00496E63" w:rsidRPr="00074E91" w:rsidRDefault="008C6F70" w:rsidP="008C6F70">
            <w:pPr>
              <w:numPr>
                <w:ilvl w:val="0"/>
                <w:numId w:val="1"/>
              </w:numPr>
              <w:spacing w:after="0" w:line="240" w:lineRule="atLeast"/>
              <w:rPr>
                <w:rFonts w:eastAsia="Calibri" w:cs="Arial"/>
                <w:szCs w:val="20"/>
                <w:lang w:eastAsia="es-MX"/>
              </w:rPr>
            </w:pPr>
            <w:r w:rsidRPr="00074E91">
              <w:rPr>
                <w:rFonts w:eastAsia="Calibri" w:cs="Arial"/>
                <w:szCs w:val="20"/>
                <w:lang w:eastAsia="es-MX"/>
              </w:rPr>
              <w:t>El diagnóstico del Pp se considerará el insumo principal para dar respuesta a la evaluación. No obstante, la instancia evaluadora podrá fortalecer su análisis y valoración con otras fuentes de información relacionadas con el problema o necesidad pública que motiva la existencia del Pp.</w:t>
            </w:r>
          </w:p>
        </w:tc>
      </w:tr>
    </w:tbl>
    <w:p w14:paraId="74253A4B" w14:textId="65B8FF69" w:rsidR="00F82400" w:rsidRPr="00074E91" w:rsidRDefault="00043D65" w:rsidP="000978CE">
      <w:pPr>
        <w:spacing w:before="240" w:after="120"/>
      </w:pPr>
      <w:r w:rsidRPr="00074E91">
        <w:rPr>
          <w:rFonts w:cs="Arial"/>
          <w:b/>
          <w:u w:val="single"/>
        </w:rPr>
        <w:t>Justificación:</w:t>
      </w:r>
      <w:r w:rsidR="000978CE" w:rsidRPr="000978CE">
        <w:rPr>
          <w:rFonts w:cs="Arial"/>
          <w:bCs/>
        </w:rPr>
        <w:t xml:space="preserve"> </w:t>
      </w:r>
      <w:r w:rsidR="00F82400" w:rsidRPr="00074E91">
        <w:t>El programa presupuestario “Servicios de Educación Superior y Posgrado de Calidad” se fundamenta en un diagnóstico integral que articula las políticas públicas de Sinaloa con la operación de la Universidad Tecnológica de Culiacán (UR). Este marco tiene su origen en el Plan Estatal de Desarrollo 2022–2027, que define a la educación como un motor de movilidad social y exige una cobertura plena con justicia social, priorizando la atención a sectores marginados y la mejora de indicadores de aprovechamiento. A nivel sectorial, estas metas se alinean con la Nueva Escuela Mexicana y el Plan Sectorial de Educación, los cuales enfatizan la equidad, la excelencia y la necesidad de vincular la oferta académica con las demandas del mundo laboral.</w:t>
      </w:r>
    </w:p>
    <w:p w14:paraId="5992E45E" w14:textId="2ABEABCF" w:rsidR="00496E63" w:rsidRPr="00074E91" w:rsidRDefault="00496E63" w:rsidP="00F82400">
      <w:pPr>
        <w:spacing w:after="0"/>
        <w:rPr>
          <w:rFonts w:cs="Arial"/>
          <w:b/>
          <w:lang w:val="es-ES"/>
        </w:rPr>
      </w:pPr>
      <w:r w:rsidRPr="00074E91">
        <w:rPr>
          <w:rFonts w:cs="Arial"/>
          <w:b/>
          <w:lang w:val="es-ES"/>
        </w:rPr>
        <w:t>Identificación del problema</w:t>
      </w:r>
    </w:p>
    <w:p w14:paraId="734FDD76" w14:textId="77777777" w:rsidR="00496E63" w:rsidRPr="00074E91" w:rsidRDefault="00496E63" w:rsidP="00496E63">
      <w:pPr>
        <w:spacing w:after="0" w:line="240" w:lineRule="auto"/>
        <w:rPr>
          <w:rFonts w:cs="Arial"/>
          <w:lang w:val="es-ES"/>
        </w:rPr>
      </w:pPr>
    </w:p>
    <w:p w14:paraId="59EFE69C" w14:textId="77777777" w:rsidR="00496E63" w:rsidRPr="00074E91" w:rsidRDefault="00496E63" w:rsidP="00190ACD">
      <w:pPr>
        <w:pStyle w:val="Prrafodelista"/>
        <w:numPr>
          <w:ilvl w:val="0"/>
          <w:numId w:val="13"/>
        </w:numPr>
        <w:spacing w:line="360" w:lineRule="auto"/>
        <w:rPr>
          <w:rFonts w:cs="Arial"/>
          <w:b/>
        </w:rPr>
      </w:pPr>
      <w:r w:rsidRPr="00074E91">
        <w:rPr>
          <w:rFonts w:cs="Arial"/>
          <w:b/>
        </w:rPr>
        <w:t>¿El problema o necesidad pública que busca atender el Pp cuenta con las características siguientes?</w:t>
      </w:r>
    </w:p>
    <w:p w14:paraId="636EDA7E" w14:textId="77777777" w:rsidR="00496E63" w:rsidRPr="00074E91" w:rsidRDefault="00496E63" w:rsidP="00670D50">
      <w:pPr>
        <w:spacing w:before="240" w:after="120"/>
        <w:rPr>
          <w:rFonts w:cs="Arial"/>
          <w:b/>
          <w:u w:val="single"/>
        </w:rPr>
      </w:pPr>
      <w:r w:rsidRPr="00074E91">
        <w:rPr>
          <w:rFonts w:cs="Arial"/>
          <w:b/>
          <w:u w:val="single"/>
        </w:rPr>
        <w:t>Criterios de valoración:</w:t>
      </w:r>
    </w:p>
    <w:p w14:paraId="2EC0FC3A" w14:textId="77777777" w:rsidR="00496E63" w:rsidRPr="00074E91" w:rsidRDefault="00496E63" w:rsidP="00190ACD">
      <w:pPr>
        <w:pStyle w:val="Prrafodelista"/>
        <w:numPr>
          <w:ilvl w:val="0"/>
          <w:numId w:val="14"/>
        </w:numPr>
        <w:spacing w:line="360" w:lineRule="auto"/>
        <w:ind w:left="714" w:hanging="357"/>
        <w:rPr>
          <w:rFonts w:cs="Arial"/>
        </w:rPr>
      </w:pPr>
      <w:r w:rsidRPr="00074E91">
        <w:rPr>
          <w:rFonts w:cs="Arial"/>
        </w:rPr>
        <w:t>Se define de manera clara, concreta, acotada y es único (no se identifican múltiples problemáticas).</w:t>
      </w:r>
    </w:p>
    <w:p w14:paraId="3C98F87D" w14:textId="77777777" w:rsidR="00496E63" w:rsidRPr="00074E91" w:rsidRDefault="00496E63" w:rsidP="00190ACD">
      <w:pPr>
        <w:pStyle w:val="Prrafodelista"/>
        <w:numPr>
          <w:ilvl w:val="0"/>
          <w:numId w:val="14"/>
        </w:numPr>
        <w:spacing w:line="360" w:lineRule="auto"/>
        <w:ind w:left="714" w:hanging="357"/>
        <w:rPr>
          <w:rFonts w:cs="Arial"/>
        </w:rPr>
      </w:pPr>
      <w:r w:rsidRPr="00074E91">
        <w:rPr>
          <w:rFonts w:cs="Arial"/>
        </w:rPr>
        <w:t>Se formula como un hecho negativo o como una situación que puede ser revertida.</w:t>
      </w:r>
    </w:p>
    <w:p w14:paraId="5381AED2" w14:textId="77777777" w:rsidR="00496E63" w:rsidRPr="00074E91" w:rsidRDefault="00496E63" w:rsidP="00190ACD">
      <w:pPr>
        <w:pStyle w:val="Prrafodelista"/>
        <w:numPr>
          <w:ilvl w:val="0"/>
          <w:numId w:val="14"/>
        </w:numPr>
        <w:spacing w:line="360" w:lineRule="auto"/>
        <w:ind w:left="714" w:hanging="357"/>
        <w:rPr>
          <w:rFonts w:cs="Arial"/>
        </w:rPr>
      </w:pPr>
      <w:r w:rsidRPr="00074E91">
        <w:rPr>
          <w:rFonts w:cs="Arial"/>
        </w:rPr>
        <w:t>Identifica a la población objetivo de manera clara, concreta y delimitada.</w:t>
      </w:r>
    </w:p>
    <w:p w14:paraId="311C9F35" w14:textId="77777777" w:rsidR="00496E63" w:rsidRPr="00074E91" w:rsidRDefault="00496E63" w:rsidP="00190ACD">
      <w:pPr>
        <w:pStyle w:val="Prrafodelista"/>
        <w:numPr>
          <w:ilvl w:val="0"/>
          <w:numId w:val="14"/>
        </w:numPr>
        <w:spacing w:line="360" w:lineRule="auto"/>
        <w:ind w:left="714" w:hanging="357"/>
        <w:rPr>
          <w:rFonts w:cs="Arial"/>
        </w:rPr>
      </w:pPr>
      <w:r w:rsidRPr="00074E91">
        <w:rPr>
          <w:rFonts w:cs="Arial"/>
        </w:rPr>
        <w:t>Identifica un cambio (resultado) sobre la población objetivo (es decir, no solo se define como ausencia de la solución o la falta de un bien, servicio o atributo).</w:t>
      </w:r>
    </w:p>
    <w:p w14:paraId="24EC05C5" w14:textId="77777777" w:rsidR="00F43EAE" w:rsidRPr="00074E91" w:rsidRDefault="00F43EAE" w:rsidP="00670D50">
      <w:pPr>
        <w:spacing w:before="240" w:after="120"/>
        <w:rPr>
          <w:rFonts w:cs="Arial"/>
          <w:b/>
          <w:u w:val="single"/>
        </w:rPr>
      </w:pPr>
    </w:p>
    <w:p w14:paraId="321483D4" w14:textId="788F1A2C" w:rsidR="00A32B54" w:rsidRPr="00074E91" w:rsidRDefault="00A32B54" w:rsidP="00670D50">
      <w:pPr>
        <w:spacing w:before="240" w:after="120"/>
        <w:rPr>
          <w:rFonts w:cs="Arial"/>
          <w:b/>
          <w:u w:val="single"/>
        </w:rPr>
      </w:pPr>
      <w:r w:rsidRPr="00074E91">
        <w:rPr>
          <w:rFonts w:cs="Arial"/>
          <w:b/>
          <w:u w:val="single"/>
        </w:rPr>
        <w:lastRenderedPageBreak/>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713"/>
        <w:gridCol w:w="7524"/>
      </w:tblGrid>
      <w:tr w:rsidR="00670D50" w:rsidRPr="00074E91" w14:paraId="5987D64A" w14:textId="77777777" w:rsidTr="00043D65">
        <w:trPr>
          <w:trHeight w:val="340"/>
          <w:tblHeader/>
          <w:jc w:val="right"/>
        </w:trPr>
        <w:tc>
          <w:tcPr>
            <w:tcW w:w="433" w:type="pct"/>
            <w:vMerge w:val="restart"/>
            <w:shd w:val="clear" w:color="auto" w:fill="7F7F7F" w:themeFill="text1" w:themeFillTint="80"/>
            <w:vAlign w:val="center"/>
          </w:tcPr>
          <w:p w14:paraId="5812321B" w14:textId="77777777" w:rsidR="00670D50" w:rsidRPr="00074E91" w:rsidRDefault="00670D5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074E91">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4D192AB2" w14:textId="77777777" w:rsidR="00670D50" w:rsidRPr="00074E91" w:rsidRDefault="00670D5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074E91">
              <w:rPr>
                <w:rFonts w:eastAsia="Times" w:cs="Arial"/>
                <w:b/>
                <w:iCs/>
                <w:color w:val="FFFFFF" w:themeColor="background1"/>
                <w:szCs w:val="20"/>
                <w:lang w:eastAsia="es-MX"/>
              </w:rPr>
              <w:t>Criterios</w:t>
            </w:r>
          </w:p>
        </w:tc>
      </w:tr>
      <w:tr w:rsidR="00670D50" w:rsidRPr="00074E91" w14:paraId="57A5936D" w14:textId="77777777" w:rsidTr="00043D65">
        <w:trPr>
          <w:jc w:val="right"/>
        </w:trPr>
        <w:tc>
          <w:tcPr>
            <w:tcW w:w="433" w:type="pct"/>
            <w:vMerge/>
            <w:vAlign w:val="center"/>
          </w:tcPr>
          <w:p w14:paraId="4B34B6BD" w14:textId="77777777" w:rsidR="00670D50" w:rsidRPr="00074E91" w:rsidRDefault="00670D50"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4053530B" w14:textId="77777777" w:rsidR="00670D50" w:rsidRPr="00074E91" w:rsidRDefault="00670D50" w:rsidP="00670D50">
            <w:pPr>
              <w:spacing w:after="0" w:line="240" w:lineRule="atLeast"/>
              <w:jc w:val="left"/>
              <w:rPr>
                <w:rFonts w:eastAsia="Calibri" w:cs="Arial"/>
                <w:szCs w:val="20"/>
                <w:lang w:eastAsia="es-MX"/>
              </w:rPr>
            </w:pPr>
            <w:r w:rsidRPr="00074E91">
              <w:rPr>
                <w:rFonts w:eastAsia="Calibri" w:cs="Arial"/>
                <w:szCs w:val="20"/>
                <w:lang w:eastAsia="es-MX"/>
              </w:rPr>
              <w:t>El problema o necesidad pública cuenta con:</w:t>
            </w:r>
          </w:p>
        </w:tc>
      </w:tr>
      <w:tr w:rsidR="00670D50" w:rsidRPr="00074E91" w14:paraId="2AED8944" w14:textId="77777777" w:rsidTr="00F52A59">
        <w:trPr>
          <w:jc w:val="right"/>
        </w:trPr>
        <w:tc>
          <w:tcPr>
            <w:tcW w:w="433" w:type="pct"/>
            <w:vAlign w:val="center"/>
          </w:tcPr>
          <w:p w14:paraId="0615B2EA" w14:textId="2639B6B6" w:rsidR="00670D50" w:rsidRPr="00074E91" w:rsidRDefault="00E2788C"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sidRPr="00074E91">
              <w:rPr>
                <w:rFonts w:eastAsia="Calibri" w:cs="Arial"/>
                <w:szCs w:val="20"/>
                <w:lang w:eastAsia="es-MX"/>
              </w:rPr>
              <w:t>2</w:t>
            </w:r>
          </w:p>
        </w:tc>
        <w:tc>
          <w:tcPr>
            <w:tcW w:w="4567" w:type="pct"/>
            <w:vAlign w:val="center"/>
          </w:tcPr>
          <w:p w14:paraId="097D6738" w14:textId="2C64EA4A" w:rsidR="00670D50" w:rsidRPr="00074E91" w:rsidRDefault="00E2788C" w:rsidP="00B22673">
            <w:pPr>
              <w:numPr>
                <w:ilvl w:val="0"/>
                <w:numId w:val="1"/>
              </w:numPr>
              <w:spacing w:after="0" w:line="240" w:lineRule="atLeast"/>
              <w:ind w:left="442" w:hanging="357"/>
              <w:jc w:val="left"/>
              <w:rPr>
                <w:rFonts w:eastAsia="Calibri" w:cs="Arial"/>
                <w:szCs w:val="20"/>
                <w:lang w:eastAsia="es-MX"/>
              </w:rPr>
            </w:pPr>
            <w:r w:rsidRPr="00074E91">
              <w:rPr>
                <w:rFonts w:cs="Arial"/>
                <w:b/>
                <w:szCs w:val="20"/>
              </w:rPr>
              <w:t>Dos</w:t>
            </w:r>
            <w:r w:rsidR="00F52A59" w:rsidRPr="00074E91">
              <w:rPr>
                <w:rFonts w:cs="Arial"/>
                <w:szCs w:val="20"/>
              </w:rPr>
              <w:t xml:space="preserve"> de los criterios de valoración</w:t>
            </w:r>
            <w:r w:rsidR="00F52A59" w:rsidRPr="00074E91">
              <w:rPr>
                <w:rFonts w:cs="Arial"/>
                <w:color w:val="000000"/>
                <w:szCs w:val="20"/>
              </w:rPr>
              <w:t>.</w:t>
            </w:r>
          </w:p>
        </w:tc>
      </w:tr>
    </w:tbl>
    <w:p w14:paraId="16ADF5E4" w14:textId="15113566" w:rsidR="00FE533A" w:rsidRPr="00074E91" w:rsidRDefault="00043D65" w:rsidP="000978CE">
      <w:pPr>
        <w:spacing w:before="240" w:after="120"/>
        <w:rPr>
          <w:rFonts w:cs="Arial"/>
        </w:rPr>
      </w:pPr>
      <w:r w:rsidRPr="00074E91">
        <w:rPr>
          <w:rFonts w:cs="Arial"/>
          <w:b/>
          <w:u w:val="single"/>
        </w:rPr>
        <w:t>Justificación:</w:t>
      </w:r>
      <w:r w:rsidR="000978CE" w:rsidRPr="000978CE">
        <w:rPr>
          <w:rFonts w:cs="Arial"/>
          <w:bCs/>
        </w:rPr>
        <w:t xml:space="preserve"> </w:t>
      </w:r>
      <w:r w:rsidR="00FE533A" w:rsidRPr="00074E91">
        <w:rPr>
          <w:rFonts w:cs="Arial"/>
        </w:rPr>
        <w:t>La definición del problema central presentada por la Unidad Responsable para el Pp E053 “Los habitantes del estado de Sinaloa egresados de Educación Media Superior demandan educación superior técnica y profesional de calidad con capital humano de excelencia y vinculación con los sectores productivo y social”, se centra en la demanda de educación superior técnica de calidad y vinculación productiva, cumple con los atributos de claridad y delimitación poblacional; sin embargo, presenta una inconsistencia. Esta propuesta carece de alineación con el objetivo establecido en la Matriz de Indicadores para Resultados (MIR) publicada en la LIPEES 2024 y con el Árbol de Problemas vigente, donde el problema se define formalmente como: “Un alto porcentaje (10.8%) de alumnos de educación superior de Sinaloa abandonan sus estudios sin concluir el ciclo escolar vigente”. Al enfocarse en la demanda de servicios en lugar de la eficiencia terminal, la redacción de la UR genera una duplicidad de diagnósticos que contraviene el principio de unicidad del problema central y fragmenta la coherencia metodológica del programa.</w:t>
      </w:r>
    </w:p>
    <w:p w14:paraId="77221DAF" w14:textId="77777777" w:rsidR="00670D50" w:rsidRPr="00074E91" w:rsidRDefault="00A33C42" w:rsidP="00190ACD">
      <w:pPr>
        <w:pStyle w:val="Prrafodelista"/>
        <w:numPr>
          <w:ilvl w:val="0"/>
          <w:numId w:val="12"/>
        </w:numPr>
        <w:spacing w:after="0" w:line="360" w:lineRule="auto"/>
        <w:rPr>
          <w:rFonts w:cs="Arial"/>
          <w:b/>
        </w:rPr>
      </w:pPr>
      <w:r w:rsidRPr="00074E91">
        <w:rPr>
          <w:rFonts w:cs="Arial"/>
          <w:b/>
        </w:rPr>
        <w:t>Análisis del problema</w:t>
      </w:r>
    </w:p>
    <w:p w14:paraId="72D9AC73" w14:textId="77777777" w:rsidR="00A33C42" w:rsidRPr="00074E91" w:rsidRDefault="00A33C42" w:rsidP="00A33C42">
      <w:pPr>
        <w:spacing w:after="0" w:line="240" w:lineRule="auto"/>
        <w:rPr>
          <w:rFonts w:cs="Arial"/>
        </w:rPr>
      </w:pPr>
    </w:p>
    <w:p w14:paraId="23B99B82" w14:textId="77777777" w:rsidR="00670D50" w:rsidRPr="00074E91" w:rsidRDefault="00A33C42" w:rsidP="00190ACD">
      <w:pPr>
        <w:pStyle w:val="Prrafodelista"/>
        <w:numPr>
          <w:ilvl w:val="0"/>
          <w:numId w:val="13"/>
        </w:numPr>
        <w:spacing w:line="360" w:lineRule="auto"/>
        <w:rPr>
          <w:rFonts w:cs="Arial"/>
          <w:b/>
        </w:rPr>
      </w:pPr>
      <w:r w:rsidRPr="00074E91">
        <w:rPr>
          <w:rFonts w:cs="Arial"/>
          <w:b/>
        </w:rPr>
        <w:t>¿El problema o necesidad pública que busca atender el Pp se sustenta en los siguientes elementos?</w:t>
      </w:r>
    </w:p>
    <w:p w14:paraId="228F9B14" w14:textId="77777777" w:rsidR="00A33C42" w:rsidRPr="00074E91" w:rsidRDefault="00A33C42" w:rsidP="00A33C42">
      <w:pPr>
        <w:spacing w:before="240" w:after="120"/>
        <w:rPr>
          <w:rFonts w:cs="Arial"/>
          <w:b/>
          <w:u w:val="single"/>
        </w:rPr>
      </w:pPr>
      <w:r w:rsidRPr="00074E91">
        <w:rPr>
          <w:rFonts w:cs="Arial"/>
          <w:b/>
          <w:u w:val="single"/>
        </w:rPr>
        <w:t>Criterios de valoración:</w:t>
      </w:r>
    </w:p>
    <w:p w14:paraId="7A3D015D" w14:textId="77777777" w:rsidR="00A33C42" w:rsidRPr="00074E91" w:rsidRDefault="00A33C42" w:rsidP="00190ACD">
      <w:pPr>
        <w:pStyle w:val="Prrafodelista"/>
        <w:numPr>
          <w:ilvl w:val="0"/>
          <w:numId w:val="15"/>
        </w:numPr>
        <w:spacing w:line="360" w:lineRule="auto"/>
        <w:ind w:left="714" w:hanging="357"/>
        <w:rPr>
          <w:rFonts w:cs="Arial"/>
        </w:rPr>
      </w:pPr>
      <w:r w:rsidRPr="00074E91">
        <w:rPr>
          <w:rFonts w:cs="Arial"/>
        </w:rPr>
        <w:t>Es consistente con los cambios que ha experimentado la problemática según información o estadísticas oficiales.</w:t>
      </w:r>
    </w:p>
    <w:p w14:paraId="116A4858" w14:textId="77777777" w:rsidR="00A33C42" w:rsidRPr="00074E91" w:rsidRDefault="00A33C42" w:rsidP="00190ACD">
      <w:pPr>
        <w:pStyle w:val="Prrafodelista"/>
        <w:numPr>
          <w:ilvl w:val="0"/>
          <w:numId w:val="15"/>
        </w:numPr>
        <w:spacing w:line="360" w:lineRule="auto"/>
        <w:ind w:left="714" w:hanging="357"/>
        <w:rPr>
          <w:rFonts w:cs="Arial"/>
        </w:rPr>
      </w:pPr>
      <w:r w:rsidRPr="00074E91">
        <w:rPr>
          <w:rFonts w:cs="Arial"/>
        </w:rPr>
        <w:t xml:space="preserve">Se encuentra contextualizado en la situación socioeconómica actual del </w:t>
      </w:r>
      <w:r w:rsidR="007B5042" w:rsidRPr="00074E91">
        <w:rPr>
          <w:rFonts w:cs="Arial"/>
        </w:rPr>
        <w:t>estado</w:t>
      </w:r>
      <w:r w:rsidRPr="00074E91">
        <w:rPr>
          <w:rFonts w:cs="Arial"/>
        </w:rPr>
        <w:t>, según información o estadísticas oficiales disponibles.</w:t>
      </w:r>
    </w:p>
    <w:p w14:paraId="35661FAD" w14:textId="77777777" w:rsidR="00A33C42" w:rsidRPr="00074E91" w:rsidRDefault="00A33C42" w:rsidP="00190ACD">
      <w:pPr>
        <w:pStyle w:val="Prrafodelista"/>
        <w:numPr>
          <w:ilvl w:val="0"/>
          <w:numId w:val="15"/>
        </w:numPr>
        <w:spacing w:line="360" w:lineRule="auto"/>
        <w:ind w:left="714" w:hanging="357"/>
        <w:rPr>
          <w:rFonts w:cs="Arial"/>
        </w:rPr>
      </w:pPr>
      <w:r w:rsidRPr="00074E91">
        <w:rPr>
          <w:rFonts w:cs="Arial"/>
        </w:rPr>
        <w:t>Considera los cambios esperados en la magnitud, naturaleza, comportamiento u otras características de la problemática.</w:t>
      </w:r>
    </w:p>
    <w:p w14:paraId="29DA032B" w14:textId="77777777" w:rsidR="00A33C42" w:rsidRPr="00074E91" w:rsidRDefault="00A33C42" w:rsidP="00190ACD">
      <w:pPr>
        <w:pStyle w:val="Prrafodelista"/>
        <w:numPr>
          <w:ilvl w:val="0"/>
          <w:numId w:val="15"/>
        </w:numPr>
        <w:spacing w:line="360" w:lineRule="auto"/>
        <w:ind w:left="714" w:hanging="357"/>
        <w:rPr>
          <w:rFonts w:cs="Arial"/>
        </w:rPr>
      </w:pPr>
      <w:r w:rsidRPr="00074E91">
        <w:rPr>
          <w:rFonts w:cs="Arial"/>
        </w:rPr>
        <w:t>Se encuentra caracterizado en un contexto territorial.</w:t>
      </w:r>
    </w:p>
    <w:p w14:paraId="2BB861DD" w14:textId="77777777" w:rsidR="00A33C42" w:rsidRPr="00074E91" w:rsidRDefault="00A33C42" w:rsidP="00A33C42">
      <w:pPr>
        <w:spacing w:before="240" w:after="120"/>
        <w:rPr>
          <w:rFonts w:cs="Arial"/>
          <w:b/>
          <w:u w:val="single"/>
        </w:rPr>
      </w:pPr>
      <w:r w:rsidRPr="00074E91">
        <w:rPr>
          <w:rFonts w:cs="Arial"/>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713"/>
        <w:gridCol w:w="7524"/>
      </w:tblGrid>
      <w:tr w:rsidR="00A33C42" w:rsidRPr="00074E91" w14:paraId="5292D648" w14:textId="77777777" w:rsidTr="00043D65">
        <w:trPr>
          <w:trHeight w:val="340"/>
          <w:tblHeader/>
          <w:jc w:val="right"/>
        </w:trPr>
        <w:tc>
          <w:tcPr>
            <w:tcW w:w="433" w:type="pct"/>
            <w:vMerge w:val="restart"/>
            <w:shd w:val="clear" w:color="auto" w:fill="7F7F7F" w:themeFill="text1" w:themeFillTint="80"/>
            <w:vAlign w:val="center"/>
          </w:tcPr>
          <w:p w14:paraId="5B8F1B93" w14:textId="77777777" w:rsidR="00A33C42" w:rsidRPr="00074E91" w:rsidRDefault="00A33C42"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074E91">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1C21AA66" w14:textId="77777777" w:rsidR="00A33C42" w:rsidRPr="00074E91" w:rsidRDefault="00A33C42"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074E91">
              <w:rPr>
                <w:rFonts w:eastAsia="Times" w:cs="Arial"/>
                <w:b/>
                <w:iCs/>
                <w:color w:val="FFFFFF" w:themeColor="background1"/>
                <w:szCs w:val="20"/>
                <w:lang w:eastAsia="es-MX"/>
              </w:rPr>
              <w:t>Criterios</w:t>
            </w:r>
          </w:p>
        </w:tc>
      </w:tr>
      <w:tr w:rsidR="00A33C42" w:rsidRPr="00074E91" w14:paraId="177C8489" w14:textId="77777777" w:rsidTr="00043D65">
        <w:trPr>
          <w:jc w:val="right"/>
        </w:trPr>
        <w:tc>
          <w:tcPr>
            <w:tcW w:w="433" w:type="pct"/>
            <w:vMerge/>
            <w:vAlign w:val="center"/>
          </w:tcPr>
          <w:p w14:paraId="66337014" w14:textId="77777777" w:rsidR="00A33C42" w:rsidRPr="00074E91" w:rsidRDefault="00A33C42"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5E5FACFE" w14:textId="77777777" w:rsidR="00A33C42" w:rsidRPr="00074E91" w:rsidRDefault="00A33C42" w:rsidP="00FC66EE">
            <w:pPr>
              <w:spacing w:after="0" w:line="240" w:lineRule="atLeast"/>
              <w:jc w:val="left"/>
              <w:rPr>
                <w:rFonts w:eastAsia="Calibri" w:cs="Arial"/>
                <w:szCs w:val="20"/>
                <w:lang w:eastAsia="es-MX"/>
              </w:rPr>
            </w:pPr>
            <w:r w:rsidRPr="00074E91">
              <w:rPr>
                <w:rFonts w:eastAsia="Calibri" w:cs="Arial"/>
                <w:szCs w:val="20"/>
                <w:lang w:eastAsia="es-MX"/>
              </w:rPr>
              <w:t>El problema o necesidad pública cuenta con:</w:t>
            </w:r>
          </w:p>
        </w:tc>
      </w:tr>
      <w:tr w:rsidR="00A33C42" w:rsidRPr="00074E91" w14:paraId="3C50147E" w14:textId="77777777" w:rsidTr="00EA11F2">
        <w:trPr>
          <w:jc w:val="right"/>
        </w:trPr>
        <w:tc>
          <w:tcPr>
            <w:tcW w:w="433" w:type="pct"/>
            <w:vAlign w:val="center"/>
          </w:tcPr>
          <w:p w14:paraId="1EF543B4" w14:textId="6E026CDE" w:rsidR="00A33C42" w:rsidRPr="00074E91" w:rsidRDefault="005F7C75"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sidRPr="00074E91">
              <w:rPr>
                <w:rFonts w:eastAsia="Calibri" w:cs="Arial"/>
                <w:szCs w:val="20"/>
                <w:lang w:eastAsia="es-MX"/>
              </w:rPr>
              <w:t>4</w:t>
            </w:r>
          </w:p>
        </w:tc>
        <w:tc>
          <w:tcPr>
            <w:tcW w:w="4567" w:type="pct"/>
            <w:vAlign w:val="center"/>
          </w:tcPr>
          <w:p w14:paraId="42331241" w14:textId="484D6D58" w:rsidR="00A33C42" w:rsidRPr="00074E91" w:rsidRDefault="005F7C75" w:rsidP="005F7C75">
            <w:pPr>
              <w:numPr>
                <w:ilvl w:val="0"/>
                <w:numId w:val="1"/>
              </w:numPr>
              <w:spacing w:after="0" w:line="240" w:lineRule="atLeast"/>
              <w:ind w:left="442" w:hanging="357"/>
              <w:jc w:val="left"/>
              <w:rPr>
                <w:rFonts w:eastAsia="Calibri" w:cs="Arial"/>
                <w:szCs w:val="20"/>
                <w:lang w:eastAsia="es-MX"/>
              </w:rPr>
            </w:pPr>
            <w:r w:rsidRPr="00074E91">
              <w:rPr>
                <w:rFonts w:cs="Arial"/>
                <w:szCs w:val="20"/>
              </w:rPr>
              <w:t>Cuatro</w:t>
            </w:r>
            <w:r w:rsidR="001231E7" w:rsidRPr="00074E91">
              <w:rPr>
                <w:rFonts w:cs="Arial"/>
                <w:szCs w:val="20"/>
              </w:rPr>
              <w:t xml:space="preserve"> </w:t>
            </w:r>
            <w:r w:rsidR="00EA11F2" w:rsidRPr="00074E91">
              <w:rPr>
                <w:rFonts w:cs="Arial"/>
                <w:szCs w:val="20"/>
              </w:rPr>
              <w:t>de los criterios de valoración</w:t>
            </w:r>
            <w:r w:rsidR="00EA11F2" w:rsidRPr="00074E91">
              <w:rPr>
                <w:rFonts w:cs="Arial"/>
                <w:color w:val="000000"/>
                <w:szCs w:val="20"/>
              </w:rPr>
              <w:t>.</w:t>
            </w:r>
          </w:p>
        </w:tc>
      </w:tr>
    </w:tbl>
    <w:p w14:paraId="4F12B1DA" w14:textId="66686FCA" w:rsidR="00476FFF" w:rsidRPr="00074E91" w:rsidRDefault="00043D65" w:rsidP="000978CE">
      <w:pPr>
        <w:spacing w:before="240" w:after="120"/>
        <w:rPr>
          <w:rFonts w:cs="Arial"/>
        </w:rPr>
      </w:pPr>
      <w:r w:rsidRPr="00074E91">
        <w:rPr>
          <w:rFonts w:cs="Arial"/>
          <w:b/>
          <w:u w:val="single"/>
        </w:rPr>
        <w:lastRenderedPageBreak/>
        <w:t>Justificación:</w:t>
      </w:r>
      <w:r w:rsidR="000978CE" w:rsidRPr="000978CE">
        <w:rPr>
          <w:rFonts w:cs="Arial"/>
          <w:bCs/>
        </w:rPr>
        <w:t xml:space="preserve"> </w:t>
      </w:r>
      <w:r w:rsidR="00FC4E77" w:rsidRPr="00074E91">
        <w:rPr>
          <w:rFonts w:cs="Arial"/>
        </w:rPr>
        <w:t>La UR del Pp “E053 Servicios de Educación Superior y Posgrado de Calidad” presenta evidencias suficientes para asegurar que se sustentan los cuatro criterios de valoración. Se fundamenta en diagnósticos del PED 2022-2027 y el Plan Sectorial de Educación de Sinaloa, que demuestran consistencia con la evolución de rezagos en cobertura y aprovechamiento, contextualizándolos en la situación socioeconómica y de marginación actual del estado. Asimismo, mediante el PIDE 2022-2027 y registros de la Universidad Tecnológica de Culiacán, se consideran los cambios esperados en la magnitud y naturaleza de la problemática, como la deserción y la necesidad de pertinencia laboral. Finalmente, el problema está caracterizado en un contexto territorial definido al priorizar regiones con menor oferta tecnológica y municipios con mayor rezago educativo, vinculándolos a las vocaciones productivas de la entidad.</w:t>
      </w:r>
    </w:p>
    <w:p w14:paraId="1B3DDC3A" w14:textId="77777777" w:rsidR="00A33C42" w:rsidRPr="00074E91" w:rsidRDefault="00A33C42" w:rsidP="00190ACD">
      <w:pPr>
        <w:pStyle w:val="Prrafodelista"/>
        <w:numPr>
          <w:ilvl w:val="0"/>
          <w:numId w:val="13"/>
        </w:numPr>
        <w:spacing w:line="360" w:lineRule="auto"/>
        <w:rPr>
          <w:rFonts w:cs="Arial"/>
          <w:b/>
        </w:rPr>
      </w:pPr>
      <w:r w:rsidRPr="00074E91">
        <w:rPr>
          <w:rFonts w:cs="Arial"/>
          <w:b/>
        </w:rPr>
        <w:t xml:space="preserve">¿El análisis del problema toma en consideración el estado actual de grupos poblacionales, territorios del </w:t>
      </w:r>
      <w:r w:rsidR="0017718B" w:rsidRPr="00074E91">
        <w:rPr>
          <w:rFonts w:cs="Arial"/>
          <w:b/>
        </w:rPr>
        <w:t>estado</w:t>
      </w:r>
      <w:r w:rsidRPr="00074E91">
        <w:rPr>
          <w:rFonts w:cs="Arial"/>
          <w:b/>
        </w:rPr>
        <w:t xml:space="preserve"> </w:t>
      </w:r>
      <w:r w:rsidR="007E2617" w:rsidRPr="00074E91">
        <w:rPr>
          <w:rFonts w:cs="Arial"/>
          <w:b/>
        </w:rPr>
        <w:t xml:space="preserve">o </w:t>
      </w:r>
      <w:r w:rsidRPr="00074E91">
        <w:rPr>
          <w:rFonts w:cs="Arial"/>
          <w:b/>
        </w:rPr>
        <w:t>medio ambiente?</w:t>
      </w:r>
    </w:p>
    <w:p w14:paraId="2F36635B" w14:textId="77777777" w:rsidR="00A33C42" w:rsidRPr="00074E91" w:rsidRDefault="00A33C42" w:rsidP="00A33C42">
      <w:pPr>
        <w:spacing w:before="240" w:after="120"/>
        <w:rPr>
          <w:rFonts w:cs="Arial"/>
          <w:b/>
          <w:u w:val="single"/>
        </w:rPr>
      </w:pPr>
      <w:r w:rsidRPr="00074E91">
        <w:rPr>
          <w:rFonts w:cs="Arial"/>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713"/>
        <w:gridCol w:w="7524"/>
      </w:tblGrid>
      <w:tr w:rsidR="00A33C42" w:rsidRPr="00074E91" w14:paraId="6060D13A" w14:textId="77777777" w:rsidTr="00043D65">
        <w:trPr>
          <w:trHeight w:val="340"/>
          <w:tblHeader/>
          <w:jc w:val="right"/>
        </w:trPr>
        <w:tc>
          <w:tcPr>
            <w:tcW w:w="433" w:type="pct"/>
            <w:vMerge w:val="restart"/>
            <w:shd w:val="clear" w:color="auto" w:fill="7F7F7F" w:themeFill="text1" w:themeFillTint="80"/>
            <w:vAlign w:val="center"/>
          </w:tcPr>
          <w:p w14:paraId="548E5C12" w14:textId="77777777" w:rsidR="00A33C42" w:rsidRPr="00074E91" w:rsidRDefault="00A33C42"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074E91">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746EF959" w14:textId="77777777" w:rsidR="00A33C42" w:rsidRPr="00074E91" w:rsidRDefault="00A33C42"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074E91">
              <w:rPr>
                <w:rFonts w:eastAsia="Times" w:cs="Arial"/>
                <w:b/>
                <w:iCs/>
                <w:color w:val="FFFFFF" w:themeColor="background1"/>
                <w:szCs w:val="20"/>
                <w:lang w:eastAsia="es-MX"/>
              </w:rPr>
              <w:t>Criterios</w:t>
            </w:r>
          </w:p>
        </w:tc>
      </w:tr>
      <w:tr w:rsidR="00A33C42" w:rsidRPr="00074E91" w14:paraId="6DED76B9" w14:textId="77777777" w:rsidTr="00043D65">
        <w:trPr>
          <w:jc w:val="right"/>
        </w:trPr>
        <w:tc>
          <w:tcPr>
            <w:tcW w:w="433" w:type="pct"/>
            <w:vMerge/>
            <w:vAlign w:val="center"/>
          </w:tcPr>
          <w:p w14:paraId="7D478EAF" w14:textId="77777777" w:rsidR="00A33C42" w:rsidRPr="00074E91" w:rsidRDefault="00A33C42"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3D39D000" w14:textId="77777777" w:rsidR="00A33C42" w:rsidRPr="00074E91" w:rsidRDefault="00A33C42" w:rsidP="00FC66EE">
            <w:pPr>
              <w:spacing w:after="0" w:line="240" w:lineRule="atLeast"/>
              <w:jc w:val="left"/>
              <w:rPr>
                <w:rFonts w:eastAsia="Calibri" w:cs="Arial"/>
                <w:szCs w:val="20"/>
                <w:lang w:eastAsia="es-MX"/>
              </w:rPr>
            </w:pPr>
            <w:r w:rsidRPr="00074E91">
              <w:rPr>
                <w:rFonts w:eastAsia="Calibri" w:cs="Arial"/>
                <w:szCs w:val="20"/>
                <w:lang w:eastAsia="es-MX"/>
              </w:rPr>
              <w:t>El análisis del problema:</w:t>
            </w:r>
          </w:p>
        </w:tc>
      </w:tr>
      <w:tr w:rsidR="00A33C42" w:rsidRPr="00074E91" w14:paraId="7E00E76A" w14:textId="77777777" w:rsidTr="00A34301">
        <w:trPr>
          <w:jc w:val="right"/>
        </w:trPr>
        <w:tc>
          <w:tcPr>
            <w:tcW w:w="433" w:type="pct"/>
            <w:vAlign w:val="center"/>
          </w:tcPr>
          <w:p w14:paraId="49F09888" w14:textId="77777777" w:rsidR="00A33C42" w:rsidRPr="00074E91" w:rsidRDefault="00A34301"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sidRPr="00074E91">
              <w:rPr>
                <w:rFonts w:eastAsia="Calibri" w:cs="Arial"/>
                <w:szCs w:val="20"/>
                <w:lang w:eastAsia="es-MX"/>
              </w:rPr>
              <w:t>4</w:t>
            </w:r>
          </w:p>
        </w:tc>
        <w:tc>
          <w:tcPr>
            <w:tcW w:w="4567" w:type="pct"/>
            <w:vAlign w:val="center"/>
          </w:tcPr>
          <w:p w14:paraId="2E188707" w14:textId="77777777" w:rsidR="00A33C42" w:rsidRPr="00074E91" w:rsidRDefault="00A34301" w:rsidP="00A34301">
            <w:pPr>
              <w:numPr>
                <w:ilvl w:val="0"/>
                <w:numId w:val="1"/>
              </w:numPr>
              <w:spacing w:after="0" w:line="240" w:lineRule="atLeast"/>
              <w:rPr>
                <w:rFonts w:eastAsia="Calibri" w:cs="Arial"/>
                <w:szCs w:val="20"/>
                <w:lang w:eastAsia="es-MX"/>
              </w:rPr>
            </w:pPr>
            <w:r w:rsidRPr="00074E91">
              <w:rPr>
                <w:rFonts w:eastAsia="Calibri" w:cs="Arial"/>
                <w:szCs w:val="20"/>
                <w:lang w:eastAsia="es-MX"/>
              </w:rPr>
              <w:t xml:space="preserve">Además del criterio anterior, presenta información estadística sobre grupos o territorios identificados, así como sobre las afectaciones en el medio ambiente. </w:t>
            </w:r>
          </w:p>
        </w:tc>
      </w:tr>
    </w:tbl>
    <w:p w14:paraId="354F5C28" w14:textId="37CC7285" w:rsidR="005F04A4" w:rsidRPr="00074E91" w:rsidRDefault="00043D65" w:rsidP="000978CE">
      <w:pPr>
        <w:spacing w:before="240" w:after="120"/>
        <w:rPr>
          <w:rFonts w:cs="Arial"/>
        </w:rPr>
      </w:pPr>
      <w:r w:rsidRPr="00074E91">
        <w:rPr>
          <w:rFonts w:cs="Arial"/>
          <w:b/>
          <w:u w:val="single"/>
        </w:rPr>
        <w:t>Justificación:</w:t>
      </w:r>
      <w:r w:rsidR="000978CE" w:rsidRPr="000978CE">
        <w:rPr>
          <w:rFonts w:cs="Arial"/>
          <w:bCs/>
        </w:rPr>
        <w:t xml:space="preserve"> </w:t>
      </w:r>
      <w:r w:rsidR="005F04A4" w:rsidRPr="00074E91">
        <w:rPr>
          <w:rFonts w:cs="Arial"/>
        </w:rPr>
        <w:t>El análisis del programa "Servicios de Educación Superior y Posgrado de Calidad" fundamenta su estrategia en un diagnóstico estadístico y territorial detallado, alineado al Plan Estatal de Desarrollo 2022–2027 de Sinaloa. El documento identifica brechas críticas en cobertura, aprobación y abandono escolar que afectan principalmente a comunidades rurales y zonas de alta marginación, lo que obliga a priorizar el acceso y la permanencia con un enfoque de inclusión sociocultural. Para resolver esto, se propone una coordinación institucional a través de la COEPES que permita actualizar planes de estudio, asegurar la acreditación y vincular la oferta educativa con las necesidades del mercado laboral y las áreas emergentes.</w:t>
      </w:r>
    </w:p>
    <w:p w14:paraId="26C2A495" w14:textId="77777777" w:rsidR="00A33C42" w:rsidRPr="00074E91" w:rsidRDefault="00A33C42" w:rsidP="00190ACD">
      <w:pPr>
        <w:pStyle w:val="Prrafodelista"/>
        <w:numPr>
          <w:ilvl w:val="0"/>
          <w:numId w:val="13"/>
        </w:numPr>
        <w:spacing w:line="360" w:lineRule="auto"/>
        <w:rPr>
          <w:rFonts w:cs="Arial"/>
          <w:b/>
        </w:rPr>
      </w:pPr>
      <w:r w:rsidRPr="00074E91">
        <w:rPr>
          <w:rFonts w:cs="Arial"/>
          <w:b/>
        </w:rPr>
        <w:t>¿El análisis del problema o necesidad pública identifica las causas y efectos del problema o necesidad pública que atiende considerando las siguientes características?</w:t>
      </w:r>
    </w:p>
    <w:p w14:paraId="1430A01A" w14:textId="77777777" w:rsidR="00B22673" w:rsidRPr="00074E91" w:rsidRDefault="00B22673" w:rsidP="00B22673">
      <w:pPr>
        <w:spacing w:before="240" w:after="120"/>
        <w:rPr>
          <w:rFonts w:cs="Arial"/>
          <w:b/>
          <w:u w:val="single"/>
        </w:rPr>
      </w:pPr>
      <w:r w:rsidRPr="00074E91">
        <w:rPr>
          <w:rFonts w:cs="Arial"/>
          <w:b/>
          <w:u w:val="single"/>
        </w:rPr>
        <w:t>Criterios de valoración:</w:t>
      </w:r>
    </w:p>
    <w:p w14:paraId="287AD339" w14:textId="77777777" w:rsidR="00B22673" w:rsidRPr="00074E91" w:rsidRDefault="00B22673" w:rsidP="00190ACD">
      <w:pPr>
        <w:pStyle w:val="Prrafodelista"/>
        <w:numPr>
          <w:ilvl w:val="0"/>
          <w:numId w:val="16"/>
        </w:numPr>
        <w:spacing w:line="360" w:lineRule="auto"/>
        <w:rPr>
          <w:rFonts w:cs="Arial"/>
        </w:rPr>
      </w:pPr>
      <w:r w:rsidRPr="00074E91">
        <w:rPr>
          <w:rFonts w:cs="Arial"/>
        </w:rPr>
        <w:t>Es resultado directo de las principales causas identificadas en el análisis de la problemática.</w:t>
      </w:r>
    </w:p>
    <w:p w14:paraId="0B05FA04" w14:textId="77777777" w:rsidR="00B22673" w:rsidRPr="00074E91" w:rsidRDefault="00B22673" w:rsidP="00190ACD">
      <w:pPr>
        <w:pStyle w:val="Prrafodelista"/>
        <w:numPr>
          <w:ilvl w:val="0"/>
          <w:numId w:val="16"/>
        </w:numPr>
        <w:spacing w:line="360" w:lineRule="auto"/>
        <w:rPr>
          <w:rFonts w:cs="Arial"/>
        </w:rPr>
      </w:pPr>
      <w:r w:rsidRPr="00074E91">
        <w:rPr>
          <w:rFonts w:cs="Arial"/>
        </w:rPr>
        <w:t>Se vincula directamente con los principales efectos identificados en el análisis de la problemática.</w:t>
      </w:r>
    </w:p>
    <w:p w14:paraId="7F5529CA" w14:textId="77777777" w:rsidR="00B22673" w:rsidRPr="00074E91" w:rsidRDefault="00B22673" w:rsidP="00190ACD">
      <w:pPr>
        <w:pStyle w:val="Prrafodelista"/>
        <w:numPr>
          <w:ilvl w:val="0"/>
          <w:numId w:val="16"/>
        </w:numPr>
        <w:spacing w:line="360" w:lineRule="auto"/>
        <w:rPr>
          <w:rFonts w:cs="Arial"/>
        </w:rPr>
      </w:pPr>
      <w:r w:rsidRPr="00074E91">
        <w:rPr>
          <w:rFonts w:cs="Arial"/>
        </w:rPr>
        <w:lastRenderedPageBreak/>
        <w:t>Existe lógica causal entre sus causas y efectos, incluyendo aquellas causas que no son atribución directa del Pp, pero inciden directamente en el problema público.</w:t>
      </w:r>
    </w:p>
    <w:p w14:paraId="01312F62" w14:textId="77777777" w:rsidR="00B22673" w:rsidRPr="00074E91" w:rsidRDefault="00B22673" w:rsidP="00190ACD">
      <w:pPr>
        <w:pStyle w:val="Prrafodelista"/>
        <w:numPr>
          <w:ilvl w:val="0"/>
          <w:numId w:val="16"/>
        </w:numPr>
        <w:spacing w:line="360" w:lineRule="auto"/>
        <w:rPr>
          <w:rFonts w:cs="Arial"/>
        </w:rPr>
      </w:pPr>
      <w:r w:rsidRPr="00074E91">
        <w:rPr>
          <w:rFonts w:cs="Arial"/>
        </w:rPr>
        <w:t>Presenta un análisis diferenciado de las causas y efectos de la problemática por grupos de población, territorios o medio ambiente o, en su caso, la justificación de por qué no aplica en la pregunta 4.</w:t>
      </w:r>
    </w:p>
    <w:p w14:paraId="56F385F6" w14:textId="77777777" w:rsidR="00B22673" w:rsidRPr="00074E91" w:rsidRDefault="00B22673" w:rsidP="00B22673">
      <w:pPr>
        <w:spacing w:before="240" w:after="120"/>
        <w:rPr>
          <w:rFonts w:cs="Arial"/>
          <w:b/>
          <w:u w:val="single"/>
        </w:rPr>
      </w:pPr>
      <w:r w:rsidRPr="00074E91">
        <w:rPr>
          <w:rFonts w:cs="Arial"/>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713"/>
        <w:gridCol w:w="7524"/>
      </w:tblGrid>
      <w:tr w:rsidR="00B22673" w:rsidRPr="00074E91" w14:paraId="3C946131" w14:textId="77777777" w:rsidTr="00043D65">
        <w:trPr>
          <w:trHeight w:val="340"/>
          <w:tblHeader/>
          <w:jc w:val="right"/>
        </w:trPr>
        <w:tc>
          <w:tcPr>
            <w:tcW w:w="433" w:type="pct"/>
            <w:vMerge w:val="restart"/>
            <w:shd w:val="clear" w:color="auto" w:fill="7F7F7F" w:themeFill="text1" w:themeFillTint="80"/>
            <w:vAlign w:val="center"/>
          </w:tcPr>
          <w:p w14:paraId="57671385" w14:textId="77777777" w:rsidR="00B22673" w:rsidRPr="00074E91" w:rsidRDefault="00B22673"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074E91">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2864C2DD" w14:textId="77777777" w:rsidR="00B22673" w:rsidRPr="00074E91" w:rsidRDefault="00B22673"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074E91">
              <w:rPr>
                <w:rFonts w:eastAsia="Times" w:cs="Arial"/>
                <w:b/>
                <w:iCs/>
                <w:color w:val="FFFFFF" w:themeColor="background1"/>
                <w:szCs w:val="20"/>
                <w:lang w:eastAsia="es-MX"/>
              </w:rPr>
              <w:t>Criterios</w:t>
            </w:r>
          </w:p>
        </w:tc>
      </w:tr>
      <w:tr w:rsidR="00B22673" w:rsidRPr="00074E91" w14:paraId="253DA867" w14:textId="77777777" w:rsidTr="00043D65">
        <w:trPr>
          <w:jc w:val="right"/>
        </w:trPr>
        <w:tc>
          <w:tcPr>
            <w:tcW w:w="433" w:type="pct"/>
            <w:vMerge/>
            <w:vAlign w:val="center"/>
          </w:tcPr>
          <w:p w14:paraId="23616487" w14:textId="77777777" w:rsidR="00B22673" w:rsidRPr="00074E91" w:rsidRDefault="00B22673"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6A5A4CB5" w14:textId="77777777" w:rsidR="00B22673" w:rsidRPr="00074E91" w:rsidRDefault="00B22673" w:rsidP="00FC66EE">
            <w:pPr>
              <w:spacing w:after="0" w:line="240" w:lineRule="atLeast"/>
              <w:jc w:val="left"/>
              <w:rPr>
                <w:rFonts w:eastAsia="Calibri" w:cs="Arial"/>
                <w:szCs w:val="20"/>
                <w:lang w:eastAsia="es-MX"/>
              </w:rPr>
            </w:pPr>
            <w:r w:rsidRPr="00074E91">
              <w:rPr>
                <w:rFonts w:eastAsia="Calibri" w:cs="Arial"/>
                <w:szCs w:val="20"/>
                <w:lang w:eastAsia="es-MX"/>
              </w:rPr>
              <w:t>El análisis del problema o necesidad pública cuenta con:</w:t>
            </w:r>
          </w:p>
        </w:tc>
      </w:tr>
      <w:tr w:rsidR="00B22673" w:rsidRPr="00074E91" w14:paraId="555A8A76" w14:textId="77777777" w:rsidTr="00B27AC7">
        <w:trPr>
          <w:jc w:val="right"/>
        </w:trPr>
        <w:tc>
          <w:tcPr>
            <w:tcW w:w="433" w:type="pct"/>
            <w:vAlign w:val="center"/>
          </w:tcPr>
          <w:p w14:paraId="4972396E" w14:textId="2822EFB4" w:rsidR="00B22673" w:rsidRPr="00074E91" w:rsidRDefault="00907441"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sidRPr="00074E91">
              <w:rPr>
                <w:rFonts w:eastAsia="Calibri" w:cs="Arial"/>
                <w:szCs w:val="20"/>
                <w:lang w:eastAsia="es-MX"/>
              </w:rPr>
              <w:t>2</w:t>
            </w:r>
          </w:p>
        </w:tc>
        <w:tc>
          <w:tcPr>
            <w:tcW w:w="4567" w:type="pct"/>
            <w:vAlign w:val="center"/>
          </w:tcPr>
          <w:p w14:paraId="3E120BC6" w14:textId="654163C8" w:rsidR="00B22673" w:rsidRPr="00074E91" w:rsidRDefault="00907441" w:rsidP="00B22673">
            <w:pPr>
              <w:numPr>
                <w:ilvl w:val="0"/>
                <w:numId w:val="1"/>
              </w:numPr>
              <w:spacing w:after="0" w:line="240" w:lineRule="atLeast"/>
              <w:ind w:left="442" w:hanging="357"/>
              <w:jc w:val="left"/>
              <w:rPr>
                <w:rFonts w:eastAsia="Calibri" w:cs="Arial"/>
                <w:szCs w:val="20"/>
                <w:lang w:eastAsia="es-MX"/>
              </w:rPr>
            </w:pPr>
            <w:r w:rsidRPr="00074E91">
              <w:rPr>
                <w:rFonts w:cs="Arial"/>
                <w:b/>
                <w:szCs w:val="20"/>
              </w:rPr>
              <w:t>Dos</w:t>
            </w:r>
            <w:r w:rsidR="00B27AC7" w:rsidRPr="00074E91">
              <w:rPr>
                <w:rFonts w:cs="Arial"/>
                <w:szCs w:val="20"/>
              </w:rPr>
              <w:t xml:space="preserve"> de los criterios de valoración</w:t>
            </w:r>
            <w:r w:rsidR="00B27AC7" w:rsidRPr="00074E91">
              <w:rPr>
                <w:rFonts w:cs="Arial"/>
                <w:color w:val="000000"/>
                <w:szCs w:val="20"/>
              </w:rPr>
              <w:t>.</w:t>
            </w:r>
          </w:p>
        </w:tc>
      </w:tr>
    </w:tbl>
    <w:p w14:paraId="0E0C1B3A" w14:textId="6D577DBF" w:rsidR="00476FFF" w:rsidRPr="00074E91" w:rsidRDefault="00043D65" w:rsidP="000978CE">
      <w:pPr>
        <w:spacing w:before="240" w:after="120"/>
        <w:rPr>
          <w:rFonts w:cs="Arial"/>
        </w:rPr>
      </w:pPr>
      <w:r w:rsidRPr="00074E91">
        <w:rPr>
          <w:rFonts w:cs="Arial"/>
          <w:b/>
          <w:u w:val="single"/>
        </w:rPr>
        <w:t>Justificación:</w:t>
      </w:r>
      <w:r w:rsidR="000978CE" w:rsidRPr="000978CE">
        <w:rPr>
          <w:rFonts w:cs="Arial"/>
          <w:bCs/>
        </w:rPr>
        <w:t xml:space="preserve"> </w:t>
      </w:r>
      <w:r w:rsidR="005F04A4" w:rsidRPr="00074E91">
        <w:rPr>
          <w:rFonts w:cs="Arial"/>
        </w:rPr>
        <w:t>El análisis del programa "Servicios de Educación Superior y Posgrado de Calidad" articula con claridad una estructura causal lógica entre sus diagnósticos y objetivos, integrando la Matriz de Marco Lógico (MML) con los planes estatales y sectoriales. El problema central se define como la demanda de educación de excelencia y vinculación productiva en Sinaloa, identificando causas críticas como el rezago educativo, la falta de pertinencia de la oferta y la migración de talentos por insuficiencia local. Esta lógica se traduce directamente en un Árbol de Objetivos que prioriza la actualización curricular, la acreditación de programas y el fortalecimiento de la vinculación universidad-empresa para mejorar la empleabilidad. Finalmente, el uso de datos específicos de deserción y eficiencia terminal por carrera permite que el programa no sea genérico, sino que focalice sus intervenciones en los grupos y regiones más vulnerables, alineando la oferta educativa con los requerimientos socioeconómicos del territorio.</w:t>
      </w:r>
    </w:p>
    <w:p w14:paraId="74AC4DB7" w14:textId="57DCD933" w:rsidR="00907441" w:rsidRPr="00074E91" w:rsidRDefault="005F04A4" w:rsidP="00907441">
      <w:pPr>
        <w:spacing w:after="0"/>
        <w:rPr>
          <w:rFonts w:cs="Arial"/>
        </w:rPr>
      </w:pPr>
      <w:r w:rsidRPr="00074E91">
        <w:rPr>
          <w:rFonts w:cs="Arial"/>
        </w:rPr>
        <w:t xml:space="preserve">Sin </w:t>
      </w:r>
      <w:r w:rsidR="000978CE" w:rsidRPr="00074E91">
        <w:rPr>
          <w:rFonts w:cs="Arial"/>
        </w:rPr>
        <w:t>embargo,</w:t>
      </w:r>
      <w:r w:rsidRPr="00074E91">
        <w:rPr>
          <w:rFonts w:cs="Arial"/>
        </w:rPr>
        <w:t xml:space="preserve"> </w:t>
      </w:r>
      <w:r w:rsidR="00907441" w:rsidRPr="00074E91">
        <w:rPr>
          <w:rFonts w:cs="Arial"/>
        </w:rPr>
        <w:t>Esta propuesta no se encuentra alineada con el objetivo establecido en la Matriz de Indicadores para Resultados (MIR) publicada en la LIPEES 2024 y con el Árbol de Problemas vigente, donde el problema se define formalmente como: “Un alto porcentaje (10.8%) de alumnos de educación superior de Sinaloa abandonan sus estudios sin concluir el ciclo escolar vigente”. Al enfocarse en la demanda de servicios en lugar de la eficiencia terminal, la redacción de la UR genera una duplicidad de diagnósticos que contraviene el principio de unicidad del problema central y fragmenta la coherencia metodológica del programa.</w:t>
      </w:r>
    </w:p>
    <w:p w14:paraId="017D32BA" w14:textId="4DF58B44" w:rsidR="00B22673" w:rsidRPr="00074E91" w:rsidRDefault="00B22673" w:rsidP="00B22673">
      <w:pPr>
        <w:pStyle w:val="Ttulo3"/>
        <w:rPr>
          <w:rFonts w:cs="Arial"/>
          <w:lang w:val="es-ES"/>
        </w:rPr>
      </w:pPr>
      <w:bookmarkStart w:id="50" w:name="_Toc227668602"/>
      <w:r w:rsidRPr="00074E91">
        <w:rPr>
          <w:rFonts w:cs="Arial"/>
          <w:lang w:val="es-ES"/>
        </w:rPr>
        <w:t>Sección III. Diseño de la propuesta de atención</w:t>
      </w:r>
      <w:bookmarkEnd w:id="50"/>
    </w:p>
    <w:p w14:paraId="3B0FB4F4" w14:textId="77777777" w:rsidR="00B22673" w:rsidRPr="00074E91" w:rsidRDefault="00B22673" w:rsidP="00190ACD">
      <w:pPr>
        <w:pStyle w:val="Prrafodelista"/>
        <w:numPr>
          <w:ilvl w:val="0"/>
          <w:numId w:val="18"/>
        </w:numPr>
        <w:spacing w:after="0" w:line="360" w:lineRule="auto"/>
        <w:rPr>
          <w:rFonts w:cs="Arial"/>
          <w:b/>
        </w:rPr>
      </w:pPr>
      <w:r w:rsidRPr="00074E91">
        <w:rPr>
          <w:rFonts w:cs="Arial"/>
          <w:b/>
        </w:rPr>
        <w:t>Objetivos</w:t>
      </w:r>
    </w:p>
    <w:p w14:paraId="649DD4FF" w14:textId="77777777" w:rsidR="00B22673" w:rsidRPr="00074E91" w:rsidRDefault="00B22673" w:rsidP="00B22673">
      <w:pPr>
        <w:spacing w:after="0" w:line="240" w:lineRule="auto"/>
        <w:rPr>
          <w:rFonts w:cs="Arial"/>
        </w:rPr>
      </w:pPr>
    </w:p>
    <w:p w14:paraId="16013692" w14:textId="77777777" w:rsidR="00B22673" w:rsidRPr="00074E91" w:rsidRDefault="00B22673" w:rsidP="00190ACD">
      <w:pPr>
        <w:pStyle w:val="Prrafodelista"/>
        <w:numPr>
          <w:ilvl w:val="0"/>
          <w:numId w:val="13"/>
        </w:numPr>
        <w:spacing w:line="360" w:lineRule="auto"/>
        <w:rPr>
          <w:rFonts w:cs="Arial"/>
          <w:b/>
        </w:rPr>
      </w:pPr>
      <w:r w:rsidRPr="00074E91">
        <w:rPr>
          <w:rFonts w:cs="Arial"/>
          <w:b/>
        </w:rPr>
        <w:t>¿El objetivo central del Pp cuenta con las características señaladas a continuación?</w:t>
      </w:r>
    </w:p>
    <w:p w14:paraId="47974326" w14:textId="77777777" w:rsidR="00B22673" w:rsidRPr="00074E91" w:rsidRDefault="00B22673" w:rsidP="00B22673">
      <w:pPr>
        <w:spacing w:before="240" w:after="120"/>
        <w:rPr>
          <w:rFonts w:cs="Arial"/>
          <w:b/>
          <w:u w:val="single"/>
        </w:rPr>
      </w:pPr>
      <w:r w:rsidRPr="00074E91">
        <w:rPr>
          <w:rFonts w:cs="Arial"/>
          <w:b/>
          <w:u w:val="single"/>
        </w:rPr>
        <w:t>Criterios de valoración:</w:t>
      </w:r>
    </w:p>
    <w:p w14:paraId="10F7E6EB" w14:textId="77777777" w:rsidR="00B22673" w:rsidRPr="00074E91" w:rsidRDefault="00B22673" w:rsidP="00190ACD">
      <w:pPr>
        <w:pStyle w:val="Prrafodelista"/>
        <w:numPr>
          <w:ilvl w:val="0"/>
          <w:numId w:val="20"/>
        </w:numPr>
        <w:spacing w:line="360" w:lineRule="auto"/>
        <w:rPr>
          <w:rFonts w:cs="Arial"/>
        </w:rPr>
      </w:pPr>
      <w:r w:rsidRPr="00074E91">
        <w:rPr>
          <w:rFonts w:cs="Arial"/>
        </w:rPr>
        <w:lastRenderedPageBreak/>
        <w:t>Identifica a la población objetivo del Pp, es decir, aquella que presenta el problema o necesidad pública que el Pp tiene planeado atender y que cumple con los criterios de elegibilidad.</w:t>
      </w:r>
    </w:p>
    <w:p w14:paraId="11627E3F" w14:textId="77777777" w:rsidR="00B22673" w:rsidRPr="00074E91" w:rsidRDefault="00B22673" w:rsidP="00190ACD">
      <w:pPr>
        <w:pStyle w:val="Prrafodelista"/>
        <w:numPr>
          <w:ilvl w:val="0"/>
          <w:numId w:val="20"/>
        </w:numPr>
        <w:spacing w:line="360" w:lineRule="auto"/>
        <w:rPr>
          <w:rFonts w:cs="Arial"/>
        </w:rPr>
      </w:pPr>
      <w:r w:rsidRPr="00074E91">
        <w:rPr>
          <w:rFonts w:cs="Arial"/>
        </w:rPr>
        <w:t>Identifica el cambio que el Pp busca generar en la población objetivo.</w:t>
      </w:r>
    </w:p>
    <w:p w14:paraId="0A91E532" w14:textId="77777777" w:rsidR="00B22673" w:rsidRPr="00074E91" w:rsidRDefault="00B22673" w:rsidP="00190ACD">
      <w:pPr>
        <w:pStyle w:val="Prrafodelista"/>
        <w:numPr>
          <w:ilvl w:val="0"/>
          <w:numId w:val="20"/>
        </w:numPr>
        <w:spacing w:line="360" w:lineRule="auto"/>
        <w:rPr>
          <w:rFonts w:cs="Arial"/>
        </w:rPr>
      </w:pPr>
      <w:r w:rsidRPr="00074E91">
        <w:rPr>
          <w:rFonts w:cs="Arial"/>
        </w:rPr>
        <w:t>Es único, es decir, no se definen múltiples objetivos.</w:t>
      </w:r>
    </w:p>
    <w:p w14:paraId="1A126C62" w14:textId="77777777" w:rsidR="00B22673" w:rsidRPr="00074E91" w:rsidRDefault="00B22673" w:rsidP="00190ACD">
      <w:pPr>
        <w:pStyle w:val="Prrafodelista"/>
        <w:numPr>
          <w:ilvl w:val="0"/>
          <w:numId w:val="20"/>
        </w:numPr>
        <w:spacing w:line="360" w:lineRule="auto"/>
        <w:rPr>
          <w:rFonts w:cs="Arial"/>
        </w:rPr>
      </w:pPr>
      <w:r w:rsidRPr="00074E91">
        <w:rPr>
          <w:rFonts w:cs="Arial"/>
        </w:rPr>
        <w:t>Corresponde a la solución del problema o necesidad pública que origina la acción gubernamental.</w:t>
      </w:r>
    </w:p>
    <w:p w14:paraId="4FD4AE70" w14:textId="77777777" w:rsidR="00B22673" w:rsidRPr="00074E91" w:rsidRDefault="00B22673" w:rsidP="00B22673">
      <w:pPr>
        <w:spacing w:before="240" w:after="120"/>
        <w:rPr>
          <w:rFonts w:cs="Arial"/>
          <w:b/>
          <w:u w:val="single"/>
        </w:rPr>
      </w:pPr>
      <w:r w:rsidRPr="00074E91">
        <w:rPr>
          <w:rFonts w:cs="Arial"/>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713"/>
        <w:gridCol w:w="7524"/>
      </w:tblGrid>
      <w:tr w:rsidR="00B22673" w:rsidRPr="00074E91" w14:paraId="3334308F" w14:textId="77777777" w:rsidTr="00043D65">
        <w:trPr>
          <w:trHeight w:val="340"/>
          <w:tblHeader/>
          <w:jc w:val="right"/>
        </w:trPr>
        <w:tc>
          <w:tcPr>
            <w:tcW w:w="433" w:type="pct"/>
            <w:vMerge w:val="restart"/>
            <w:shd w:val="clear" w:color="auto" w:fill="7F7F7F" w:themeFill="text1" w:themeFillTint="80"/>
            <w:vAlign w:val="center"/>
          </w:tcPr>
          <w:p w14:paraId="2D34D96D" w14:textId="77777777" w:rsidR="00B22673" w:rsidRPr="00074E91" w:rsidRDefault="00B22673"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074E91">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5F860329" w14:textId="77777777" w:rsidR="00B22673" w:rsidRPr="00074E91" w:rsidRDefault="00B22673"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074E91">
              <w:rPr>
                <w:rFonts w:eastAsia="Times" w:cs="Arial"/>
                <w:b/>
                <w:iCs/>
                <w:color w:val="FFFFFF" w:themeColor="background1"/>
                <w:szCs w:val="20"/>
                <w:lang w:eastAsia="es-MX"/>
              </w:rPr>
              <w:t>Criterios</w:t>
            </w:r>
          </w:p>
        </w:tc>
      </w:tr>
      <w:tr w:rsidR="00B22673" w:rsidRPr="00074E91" w14:paraId="5DD8B0F0" w14:textId="77777777" w:rsidTr="00043D65">
        <w:trPr>
          <w:jc w:val="right"/>
        </w:trPr>
        <w:tc>
          <w:tcPr>
            <w:tcW w:w="433" w:type="pct"/>
            <w:vMerge/>
            <w:vAlign w:val="center"/>
          </w:tcPr>
          <w:p w14:paraId="7437B0AB" w14:textId="77777777" w:rsidR="00B22673" w:rsidRPr="00074E91" w:rsidRDefault="00B22673"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17817E58" w14:textId="77777777" w:rsidR="00B22673" w:rsidRPr="00074E91" w:rsidRDefault="00B22673" w:rsidP="00FC66EE">
            <w:pPr>
              <w:spacing w:after="0" w:line="240" w:lineRule="atLeast"/>
              <w:jc w:val="left"/>
              <w:rPr>
                <w:rFonts w:eastAsia="Calibri" w:cs="Arial"/>
                <w:szCs w:val="20"/>
                <w:lang w:eastAsia="es-MX"/>
              </w:rPr>
            </w:pPr>
            <w:r w:rsidRPr="00074E91">
              <w:rPr>
                <w:rFonts w:eastAsia="Calibri" w:cs="Arial"/>
                <w:szCs w:val="20"/>
                <w:lang w:eastAsia="es-MX"/>
              </w:rPr>
              <w:t xml:space="preserve">El objetivo central del Pp cuenta con: </w:t>
            </w:r>
          </w:p>
        </w:tc>
      </w:tr>
      <w:tr w:rsidR="00B22673" w:rsidRPr="00074E91" w14:paraId="3A8EEF1B" w14:textId="77777777" w:rsidTr="007B7863">
        <w:trPr>
          <w:jc w:val="right"/>
        </w:trPr>
        <w:tc>
          <w:tcPr>
            <w:tcW w:w="433" w:type="pct"/>
            <w:vAlign w:val="center"/>
          </w:tcPr>
          <w:p w14:paraId="5D08BF27" w14:textId="48E475CF" w:rsidR="00B22673" w:rsidRPr="00074E91" w:rsidRDefault="00B96965"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sidRPr="00074E91">
              <w:rPr>
                <w:rFonts w:eastAsia="Calibri" w:cs="Arial"/>
                <w:szCs w:val="20"/>
                <w:lang w:eastAsia="es-MX"/>
              </w:rPr>
              <w:t>1</w:t>
            </w:r>
          </w:p>
        </w:tc>
        <w:tc>
          <w:tcPr>
            <w:tcW w:w="4567" w:type="pct"/>
            <w:vAlign w:val="center"/>
          </w:tcPr>
          <w:p w14:paraId="339A1E73" w14:textId="50577665" w:rsidR="00B22673" w:rsidRPr="00074E91" w:rsidRDefault="00B96965" w:rsidP="00B22673">
            <w:pPr>
              <w:numPr>
                <w:ilvl w:val="0"/>
                <w:numId w:val="1"/>
              </w:numPr>
              <w:spacing w:after="0" w:line="240" w:lineRule="atLeast"/>
              <w:ind w:left="442" w:hanging="357"/>
              <w:jc w:val="left"/>
              <w:rPr>
                <w:rFonts w:eastAsia="Calibri" w:cs="Arial"/>
                <w:szCs w:val="20"/>
                <w:lang w:eastAsia="es-MX"/>
              </w:rPr>
            </w:pPr>
            <w:r w:rsidRPr="00074E91">
              <w:rPr>
                <w:rFonts w:cs="Arial"/>
                <w:b/>
                <w:szCs w:val="20"/>
              </w:rPr>
              <w:t xml:space="preserve">Uno </w:t>
            </w:r>
            <w:r w:rsidR="007B7863" w:rsidRPr="00074E91">
              <w:rPr>
                <w:rFonts w:cs="Arial"/>
                <w:szCs w:val="20"/>
              </w:rPr>
              <w:t>de los criterios de valoración</w:t>
            </w:r>
            <w:r w:rsidR="007B7863" w:rsidRPr="00074E91">
              <w:rPr>
                <w:rFonts w:cs="Arial"/>
                <w:color w:val="000000"/>
                <w:szCs w:val="20"/>
              </w:rPr>
              <w:t>.</w:t>
            </w:r>
          </w:p>
        </w:tc>
      </w:tr>
    </w:tbl>
    <w:p w14:paraId="1C03ED88" w14:textId="59BCA746" w:rsidR="00EA55C3" w:rsidRPr="00074E91" w:rsidRDefault="00043D65" w:rsidP="000978CE">
      <w:pPr>
        <w:spacing w:before="240" w:after="120"/>
        <w:rPr>
          <w:rFonts w:cs="Arial"/>
        </w:rPr>
      </w:pPr>
      <w:r w:rsidRPr="00074E91">
        <w:rPr>
          <w:rFonts w:cs="Arial"/>
          <w:b/>
          <w:u w:val="single"/>
        </w:rPr>
        <w:t>Justificación:</w:t>
      </w:r>
      <w:r w:rsidR="000978CE" w:rsidRPr="000978CE">
        <w:rPr>
          <w:rFonts w:cs="Arial"/>
          <w:bCs/>
        </w:rPr>
        <w:t xml:space="preserve"> </w:t>
      </w:r>
      <w:r w:rsidR="00B96965" w:rsidRPr="00074E91">
        <w:rPr>
          <w:rFonts w:cs="Arial"/>
        </w:rPr>
        <w:t xml:space="preserve">La UR del Pp presenta un análisis </w:t>
      </w:r>
      <w:r w:rsidR="00EA55C3" w:rsidRPr="00074E91">
        <w:rPr>
          <w:rFonts w:cs="Arial"/>
        </w:rPr>
        <w:t>del programa "Servicios de Educación Superior y Posgrado de Calidad" confirma que su objetivo central guarda una relación lógica y directa con la Matriz de Marco Lógico (MML) y la Matriz de Indicadores para Resultados (MIR). La propuesta delimita con precisión a su población objetivo (egresados de Media Superior en Sinaloa) y define el cambio esperado en términos de resultados concretos, como la mejora en la trayectoria académica y la inserción laboral, evitando confundir los fines del programa con simples tareas administrativas.</w:t>
      </w:r>
    </w:p>
    <w:p w14:paraId="16AC2F1D" w14:textId="618B7595" w:rsidR="00EA55C3" w:rsidRPr="00074E91" w:rsidRDefault="00EA55C3" w:rsidP="00EA55C3">
      <w:pPr>
        <w:rPr>
          <w:rFonts w:cs="Arial"/>
        </w:rPr>
      </w:pPr>
      <w:r w:rsidRPr="00074E91">
        <w:rPr>
          <w:rFonts w:cs="Arial"/>
        </w:rPr>
        <w:t>Esta estructura se ve reforzada por el PIDE 2022–2027, el cual establece metas claras en permanencia, titulación y vinculación con el sector productivo. El modelo asegura la trazabilidad del éxito mediante indicadores verificables, manteniendo una coherencia causal donde los problemas identificados (como el rezago y la migración por falta de oferta) se transforman en objetivos estratégicos de acceso y calidad. Se sugiere, además, una redacción que enfatice la eficiencia terminal y la acreditación para maximizar la claridad de la medición en la MIR.</w:t>
      </w:r>
    </w:p>
    <w:p w14:paraId="3539E52D" w14:textId="5E1E4766" w:rsidR="00B96965" w:rsidRPr="00074E91" w:rsidRDefault="00B96965" w:rsidP="00EA55C3">
      <w:pPr>
        <w:rPr>
          <w:rFonts w:cs="Arial"/>
        </w:rPr>
      </w:pPr>
      <w:r w:rsidRPr="00074E91">
        <w:rPr>
          <w:rFonts w:cs="Arial"/>
        </w:rPr>
        <w:t xml:space="preserve">Sin embargo, esta propuesta no está alineada con el objetivo «Los alumnos de educación superior disminuyen el abandono escolar», establecido en la MIR de la LIPEES 2024. Al enfocarse en la demanda de servicios y no en la eficiencia terminal, la UR genera una duplicidad que afecta la unidad del problema central y la coherencia del programa. Además, dado que presentan una MIR distinta a la publicada, se recomienda su alineación </w:t>
      </w:r>
      <w:r w:rsidR="00E87334" w:rsidRPr="00074E91">
        <w:rPr>
          <w:rFonts w:cs="Arial"/>
        </w:rPr>
        <w:t>a la brevedad</w:t>
      </w:r>
      <w:r w:rsidRPr="00074E91">
        <w:rPr>
          <w:rFonts w:cs="Arial"/>
        </w:rPr>
        <w:t xml:space="preserve"> a la versión vigente.</w:t>
      </w:r>
    </w:p>
    <w:p w14:paraId="57C9715C" w14:textId="77777777" w:rsidR="006F369A" w:rsidRPr="00074E91" w:rsidRDefault="006F369A" w:rsidP="00190ACD">
      <w:pPr>
        <w:pStyle w:val="Prrafodelista"/>
        <w:numPr>
          <w:ilvl w:val="0"/>
          <w:numId w:val="18"/>
        </w:numPr>
        <w:spacing w:after="0" w:line="360" w:lineRule="auto"/>
        <w:rPr>
          <w:rFonts w:cs="Arial"/>
          <w:b/>
        </w:rPr>
      </w:pPr>
      <w:r w:rsidRPr="00074E91">
        <w:rPr>
          <w:rFonts w:cs="Arial"/>
          <w:b/>
        </w:rPr>
        <w:t>Bienes y Servicios</w:t>
      </w:r>
    </w:p>
    <w:p w14:paraId="660EC8C3" w14:textId="77777777" w:rsidR="006F369A" w:rsidRPr="00074E91" w:rsidRDefault="006F369A" w:rsidP="006F369A">
      <w:pPr>
        <w:spacing w:after="0" w:line="240" w:lineRule="auto"/>
        <w:rPr>
          <w:rFonts w:cs="Arial"/>
        </w:rPr>
      </w:pPr>
    </w:p>
    <w:p w14:paraId="6038C1B8" w14:textId="77777777" w:rsidR="006F369A" w:rsidRPr="00074E91" w:rsidRDefault="006F369A" w:rsidP="00190ACD">
      <w:pPr>
        <w:pStyle w:val="Prrafodelista"/>
        <w:numPr>
          <w:ilvl w:val="0"/>
          <w:numId w:val="13"/>
        </w:numPr>
        <w:spacing w:line="360" w:lineRule="auto"/>
        <w:rPr>
          <w:rFonts w:cs="Arial"/>
          <w:b/>
        </w:rPr>
      </w:pPr>
      <w:r w:rsidRPr="00074E91">
        <w:rPr>
          <w:rFonts w:cs="Arial"/>
          <w:b/>
        </w:rPr>
        <w:t>¿El diseño del Pp contiene los bienes y/o servicios suficientes y necesarios para alcanzar el objetivo central del Pp, considerando su factibilidad normativa, técnica y presupuestaria?</w:t>
      </w:r>
    </w:p>
    <w:p w14:paraId="7C6CAAB9" w14:textId="77777777" w:rsidR="002C5D2C" w:rsidRPr="00074E91" w:rsidRDefault="002C5D2C" w:rsidP="002C5D2C">
      <w:pPr>
        <w:spacing w:before="240" w:after="120"/>
        <w:rPr>
          <w:rFonts w:cs="Arial"/>
          <w:b/>
          <w:u w:val="single"/>
        </w:rPr>
      </w:pPr>
      <w:r w:rsidRPr="00074E91">
        <w:rPr>
          <w:rFonts w:cs="Arial"/>
          <w:b/>
          <w:u w:val="single"/>
        </w:rPr>
        <w:lastRenderedPageBreak/>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713"/>
        <w:gridCol w:w="7524"/>
      </w:tblGrid>
      <w:tr w:rsidR="002C5D2C" w:rsidRPr="00074E91" w14:paraId="6D92AD62" w14:textId="77777777" w:rsidTr="00043D65">
        <w:trPr>
          <w:trHeight w:val="340"/>
          <w:tblHeader/>
          <w:jc w:val="right"/>
        </w:trPr>
        <w:tc>
          <w:tcPr>
            <w:tcW w:w="433" w:type="pct"/>
            <w:shd w:val="clear" w:color="auto" w:fill="7F7F7F" w:themeFill="text1" w:themeFillTint="80"/>
            <w:vAlign w:val="center"/>
          </w:tcPr>
          <w:p w14:paraId="6FDE7736" w14:textId="77777777" w:rsidR="002C5D2C" w:rsidRPr="00074E91" w:rsidRDefault="002C5D2C"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074E91">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44904422" w14:textId="77777777" w:rsidR="002C5D2C" w:rsidRPr="00074E91" w:rsidRDefault="002C5D2C"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074E91">
              <w:rPr>
                <w:rFonts w:eastAsia="Times" w:cs="Arial"/>
                <w:b/>
                <w:iCs/>
                <w:color w:val="FFFFFF" w:themeColor="background1"/>
                <w:szCs w:val="20"/>
                <w:lang w:eastAsia="es-MX"/>
              </w:rPr>
              <w:t>Criterios</w:t>
            </w:r>
          </w:p>
        </w:tc>
      </w:tr>
      <w:tr w:rsidR="002C5D2C" w:rsidRPr="00074E91" w14:paraId="0EE795C4" w14:textId="77777777" w:rsidTr="004679D4">
        <w:trPr>
          <w:jc w:val="right"/>
        </w:trPr>
        <w:tc>
          <w:tcPr>
            <w:tcW w:w="433" w:type="pct"/>
            <w:vAlign w:val="center"/>
          </w:tcPr>
          <w:p w14:paraId="2F126B0F" w14:textId="0AB917BD" w:rsidR="002C5D2C" w:rsidRPr="00074E91" w:rsidRDefault="00184D93"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sidRPr="00074E91">
              <w:rPr>
                <w:rFonts w:eastAsia="Calibri" w:cs="Arial"/>
                <w:szCs w:val="20"/>
                <w:lang w:eastAsia="es-MX"/>
              </w:rPr>
              <w:t>1</w:t>
            </w:r>
          </w:p>
        </w:tc>
        <w:tc>
          <w:tcPr>
            <w:tcW w:w="4567" w:type="pct"/>
            <w:vAlign w:val="center"/>
          </w:tcPr>
          <w:p w14:paraId="70A1EBFF" w14:textId="28C74B46" w:rsidR="002C5D2C" w:rsidRPr="00074E91" w:rsidRDefault="00184D93" w:rsidP="00184D93">
            <w:pPr>
              <w:numPr>
                <w:ilvl w:val="0"/>
                <w:numId w:val="1"/>
              </w:numPr>
              <w:spacing w:after="0" w:line="240" w:lineRule="atLeast"/>
              <w:rPr>
                <w:rFonts w:eastAsia="Calibri" w:cs="Arial"/>
                <w:szCs w:val="20"/>
                <w:lang w:eastAsia="es-MX"/>
              </w:rPr>
            </w:pPr>
            <w:r w:rsidRPr="00074E91">
              <w:rPr>
                <w:rFonts w:eastAsia="Calibri" w:cs="Arial"/>
                <w:szCs w:val="20"/>
                <w:lang w:eastAsia="es-MX"/>
              </w:rPr>
              <w:t>Al menos un bien o servicio corresponde a la solución de una o varias de las causas del problema central identificado.</w:t>
            </w:r>
          </w:p>
        </w:tc>
      </w:tr>
    </w:tbl>
    <w:p w14:paraId="6EE97B45" w14:textId="42E81492" w:rsidR="00184D93" w:rsidRPr="00074E91" w:rsidRDefault="00043D65" w:rsidP="000978CE">
      <w:pPr>
        <w:spacing w:before="240" w:after="120"/>
        <w:rPr>
          <w:rFonts w:cs="Arial"/>
        </w:rPr>
      </w:pPr>
      <w:r w:rsidRPr="00074E91">
        <w:rPr>
          <w:rFonts w:cs="Arial"/>
          <w:b/>
          <w:u w:val="single"/>
        </w:rPr>
        <w:t>Justificación:</w:t>
      </w:r>
      <w:r w:rsidR="000978CE" w:rsidRPr="000978CE">
        <w:rPr>
          <w:rFonts w:cs="Arial"/>
          <w:bCs/>
        </w:rPr>
        <w:t xml:space="preserve"> </w:t>
      </w:r>
      <w:r w:rsidR="00184D93" w:rsidRPr="00074E91">
        <w:rPr>
          <w:rFonts w:cs="Arial"/>
        </w:rPr>
        <w:t>La UR presenta un diseño del programa "Servicios de Educación Superior y Posgrado de Calidad" se presenta como un portafolio integral y viable desde las dimensiones normativa, técnica y presupuestaria. Asegura que su estructura busca garantizar el éxito académico de los egresados de Media Superior mediante el Modelo BIS (Bilingüe, Internacional y Sustentable), el cual fortalece la empleabilidad a través de la inmersión en inglés y la movilidad internacional.</w:t>
      </w:r>
    </w:p>
    <w:p w14:paraId="21BF2C49" w14:textId="46362F79" w:rsidR="00184D93" w:rsidRPr="00074E91" w:rsidRDefault="00184D93" w:rsidP="00184D93">
      <w:pPr>
        <w:rPr>
          <w:rFonts w:cs="Arial"/>
        </w:rPr>
      </w:pPr>
      <w:r w:rsidRPr="00074E91">
        <w:rPr>
          <w:rFonts w:cs="Arial"/>
        </w:rPr>
        <w:t>La operatividad del programa se sustenta en cuatro componentes críticos:</w:t>
      </w:r>
    </w:p>
    <w:p w14:paraId="6B93AB2D" w14:textId="32EDF950" w:rsidR="00184D93" w:rsidRPr="00074E91" w:rsidRDefault="00184D93" w:rsidP="000978CE">
      <w:pPr>
        <w:pStyle w:val="Prrafodelista"/>
        <w:numPr>
          <w:ilvl w:val="0"/>
          <w:numId w:val="87"/>
        </w:numPr>
        <w:spacing w:line="360" w:lineRule="auto"/>
        <w:rPr>
          <w:rFonts w:cs="Arial"/>
        </w:rPr>
      </w:pPr>
      <w:r w:rsidRPr="00074E91">
        <w:rPr>
          <w:rFonts w:cs="Arial"/>
        </w:rPr>
        <w:t xml:space="preserve">Oferta Educativa: Programas alineados a las necesidades y vocación productiva local (Componente </w:t>
      </w:r>
      <w:r w:rsidR="00385CF3" w:rsidRPr="00074E91">
        <w:rPr>
          <w:rFonts w:cs="Arial"/>
        </w:rPr>
        <w:t>1 Programas</w:t>
      </w:r>
      <w:r w:rsidRPr="00074E91">
        <w:rPr>
          <w:rFonts w:cs="Arial"/>
        </w:rPr>
        <w:t xml:space="preserve"> educativos acorde con las necesidades y vocación productiva local ofrecidos).</w:t>
      </w:r>
    </w:p>
    <w:p w14:paraId="7002E3C8" w14:textId="75EAF500" w:rsidR="00184D93" w:rsidRPr="00074E91" w:rsidRDefault="00184D93" w:rsidP="000978CE">
      <w:pPr>
        <w:pStyle w:val="Prrafodelista"/>
        <w:numPr>
          <w:ilvl w:val="0"/>
          <w:numId w:val="87"/>
        </w:numPr>
        <w:spacing w:line="360" w:lineRule="auto"/>
        <w:rPr>
          <w:rFonts w:cs="Arial"/>
        </w:rPr>
      </w:pPr>
      <w:r w:rsidRPr="00074E91">
        <w:rPr>
          <w:rFonts w:cs="Arial"/>
        </w:rPr>
        <w:t>Capital Humano: Una plantilla de docentes profesionales y capacitados para cumplir con los planes de estudio (Componente 2 Docentes profesionales, capaces y aptos para atender las asignaturas y programas, dispuestos).</w:t>
      </w:r>
    </w:p>
    <w:p w14:paraId="48D19AFC" w14:textId="76C61AEA" w:rsidR="00184D93" w:rsidRPr="00074E91" w:rsidRDefault="00184D93" w:rsidP="000978CE">
      <w:pPr>
        <w:pStyle w:val="Prrafodelista"/>
        <w:numPr>
          <w:ilvl w:val="0"/>
          <w:numId w:val="87"/>
        </w:numPr>
        <w:spacing w:line="360" w:lineRule="auto"/>
        <w:rPr>
          <w:rFonts w:cs="Arial"/>
        </w:rPr>
      </w:pPr>
      <w:r w:rsidRPr="00074E91">
        <w:rPr>
          <w:rFonts w:cs="Arial"/>
        </w:rPr>
        <w:t>Infraestructura: Capacidad instalada suficiente que incluye 17 laboratorios especializados, centros de cómputo y aulas equipadas con tecnología (Componente 3 Adecuada y suficiente infraestructura y equipamiento académico y administrativo dispuesta).</w:t>
      </w:r>
    </w:p>
    <w:p w14:paraId="5266AB3F" w14:textId="5B4968FB" w:rsidR="00184D93" w:rsidRPr="00074E91" w:rsidRDefault="00184D93" w:rsidP="000978CE">
      <w:pPr>
        <w:pStyle w:val="Prrafodelista"/>
        <w:numPr>
          <w:ilvl w:val="0"/>
          <w:numId w:val="87"/>
        </w:numPr>
        <w:spacing w:line="360" w:lineRule="auto"/>
        <w:rPr>
          <w:rFonts w:cs="Arial"/>
        </w:rPr>
      </w:pPr>
      <w:r w:rsidRPr="00074E91">
        <w:rPr>
          <w:rFonts w:cs="Arial"/>
        </w:rPr>
        <w:t>Gestión: Funciones administrativas fortalecidas y un andamiaje normativo público que asegura la trazabilidad de los procesos (Componente 4 Funciones administrativas fortalecidas).</w:t>
      </w:r>
    </w:p>
    <w:p w14:paraId="69F4CAAF" w14:textId="47C47198" w:rsidR="00184D93" w:rsidRPr="00074E91" w:rsidRDefault="00184D93" w:rsidP="000978CE">
      <w:pPr>
        <w:pStyle w:val="Prrafodelista"/>
        <w:numPr>
          <w:ilvl w:val="0"/>
          <w:numId w:val="87"/>
        </w:numPr>
        <w:spacing w:line="360" w:lineRule="auto"/>
        <w:rPr>
          <w:rFonts w:cs="Arial"/>
        </w:rPr>
      </w:pPr>
      <w:r w:rsidRPr="00074E91">
        <w:rPr>
          <w:rFonts w:cs="Arial"/>
        </w:rPr>
        <w:t>Financieramente, el programa muestra una trayectoria favorable, con un costo por alumno que tiende a la baja ($48,130.75 en el ciclo 2024-2025), alineándose a los estándares nacionales y demostrando eficiencia conforme crece la matrícula.</w:t>
      </w:r>
    </w:p>
    <w:p w14:paraId="1D154DDC" w14:textId="77777777" w:rsidR="00184D93" w:rsidRPr="00074E91" w:rsidRDefault="00184D93" w:rsidP="00476FFF">
      <w:pPr>
        <w:rPr>
          <w:rFonts w:cs="Arial"/>
        </w:rPr>
      </w:pPr>
      <w:r w:rsidRPr="00074E91">
        <w:rPr>
          <w:rFonts w:cs="Arial"/>
        </w:rPr>
        <w:t>Sin embargo, se observa que estos productos y actividades difieren sustancialmente de los publicados en el Tomo IV de la LIPEES 2024, los cuales son:</w:t>
      </w:r>
    </w:p>
    <w:p w14:paraId="77F7A60D" w14:textId="60739ABC" w:rsidR="00184D93" w:rsidRPr="00074E91" w:rsidRDefault="00184D93" w:rsidP="000978CE">
      <w:pPr>
        <w:pStyle w:val="Prrafodelista"/>
        <w:numPr>
          <w:ilvl w:val="0"/>
          <w:numId w:val="88"/>
        </w:numPr>
        <w:spacing w:line="360" w:lineRule="auto"/>
        <w:rPr>
          <w:rFonts w:cs="Arial"/>
        </w:rPr>
      </w:pPr>
      <w:r w:rsidRPr="00074E91">
        <w:rPr>
          <w:rFonts w:cs="Arial"/>
        </w:rPr>
        <w:t>Componente 1</w:t>
      </w:r>
      <w:r w:rsidRPr="00074E91">
        <w:rPr>
          <w:rFonts w:cs="Arial"/>
        </w:rPr>
        <w:tab/>
        <w:t>Las Instituciones de Educación Superior públicas brindan programas de estudios acreditados.</w:t>
      </w:r>
    </w:p>
    <w:p w14:paraId="1DA5F799" w14:textId="0B3BD268" w:rsidR="00184D93" w:rsidRPr="00074E91" w:rsidRDefault="00184D93" w:rsidP="000978CE">
      <w:pPr>
        <w:pStyle w:val="Prrafodelista"/>
        <w:numPr>
          <w:ilvl w:val="0"/>
          <w:numId w:val="88"/>
        </w:numPr>
        <w:spacing w:line="360" w:lineRule="auto"/>
        <w:rPr>
          <w:rFonts w:cs="Arial"/>
        </w:rPr>
      </w:pPr>
      <w:r w:rsidRPr="00074E91">
        <w:rPr>
          <w:rFonts w:cs="Arial"/>
        </w:rPr>
        <w:t>Componente 2</w:t>
      </w:r>
      <w:r w:rsidRPr="00074E91">
        <w:rPr>
          <w:rFonts w:cs="Arial"/>
        </w:rPr>
        <w:tab/>
        <w:t>Oferta educativa de Educación Superior de Sinaloa contextualizada.</w:t>
      </w:r>
    </w:p>
    <w:p w14:paraId="651BF64C" w14:textId="2F009388" w:rsidR="00476FFF" w:rsidRPr="00074E91" w:rsidRDefault="00184D93" w:rsidP="00476FFF">
      <w:pPr>
        <w:rPr>
          <w:rFonts w:cs="Arial"/>
        </w:rPr>
      </w:pPr>
      <w:r w:rsidRPr="00074E91">
        <w:rPr>
          <w:rFonts w:cs="Arial"/>
        </w:rPr>
        <w:lastRenderedPageBreak/>
        <w:t xml:space="preserve">Dado que la MIR presentada no coincide con la publicada en el marco normativo estatal, se recomienda realizar la alineación estricta a la versión vigente para garantizar la validez de la evaluación del desempeño. </w:t>
      </w:r>
    </w:p>
    <w:p w14:paraId="7CC4B778" w14:textId="77777777" w:rsidR="002C5D2C" w:rsidRPr="00074E91" w:rsidRDefault="002C5D2C" w:rsidP="00190ACD">
      <w:pPr>
        <w:pStyle w:val="Prrafodelista"/>
        <w:numPr>
          <w:ilvl w:val="0"/>
          <w:numId w:val="18"/>
        </w:numPr>
        <w:spacing w:after="0" w:line="360" w:lineRule="auto"/>
        <w:rPr>
          <w:rFonts w:cs="Arial"/>
          <w:b/>
        </w:rPr>
      </w:pPr>
      <w:r w:rsidRPr="00074E91">
        <w:rPr>
          <w:rFonts w:cs="Arial"/>
          <w:b/>
        </w:rPr>
        <w:t>Poblaciones</w:t>
      </w:r>
    </w:p>
    <w:p w14:paraId="21BF6C15" w14:textId="77777777" w:rsidR="002C5D2C" w:rsidRPr="00074E91" w:rsidRDefault="002C5D2C" w:rsidP="002C5D2C">
      <w:pPr>
        <w:spacing w:after="0" w:line="240" w:lineRule="auto"/>
        <w:rPr>
          <w:rFonts w:cs="Arial"/>
          <w:lang w:val="es-ES"/>
        </w:rPr>
      </w:pPr>
    </w:p>
    <w:p w14:paraId="47A23446" w14:textId="77777777" w:rsidR="002C5D2C" w:rsidRPr="00074E91" w:rsidRDefault="002C5D2C" w:rsidP="00190ACD">
      <w:pPr>
        <w:pStyle w:val="Prrafodelista"/>
        <w:numPr>
          <w:ilvl w:val="0"/>
          <w:numId w:val="13"/>
        </w:numPr>
        <w:spacing w:line="360" w:lineRule="auto"/>
        <w:rPr>
          <w:rFonts w:cs="Arial"/>
          <w:b/>
        </w:rPr>
      </w:pPr>
      <w:r w:rsidRPr="00074E91">
        <w:rPr>
          <w:rFonts w:cs="Arial"/>
          <w:b/>
        </w:rPr>
        <w:t>¿La población potencial, objetivo y atendida del Pp se encuentran correctamente identificadas?</w:t>
      </w:r>
    </w:p>
    <w:p w14:paraId="34BC48AF" w14:textId="77777777" w:rsidR="002C5D2C" w:rsidRPr="00074E91" w:rsidRDefault="002C5D2C" w:rsidP="002C5D2C">
      <w:pPr>
        <w:spacing w:before="240" w:after="120"/>
        <w:rPr>
          <w:rFonts w:cs="Arial"/>
          <w:b/>
          <w:u w:val="single"/>
        </w:rPr>
      </w:pPr>
      <w:r w:rsidRPr="00074E91">
        <w:rPr>
          <w:rFonts w:cs="Arial"/>
          <w:b/>
          <w:u w:val="single"/>
        </w:rPr>
        <w:t>Criterios de valoración:</w:t>
      </w:r>
    </w:p>
    <w:p w14:paraId="363D2097" w14:textId="77777777" w:rsidR="002C5D2C" w:rsidRPr="00074E91" w:rsidRDefault="002C5D2C" w:rsidP="00190ACD">
      <w:pPr>
        <w:pStyle w:val="Prrafodelista"/>
        <w:numPr>
          <w:ilvl w:val="0"/>
          <w:numId w:val="24"/>
        </w:numPr>
        <w:spacing w:line="360" w:lineRule="auto"/>
        <w:rPr>
          <w:rFonts w:cs="Arial"/>
        </w:rPr>
      </w:pPr>
      <w:r w:rsidRPr="00074E91">
        <w:rPr>
          <w:rFonts w:cs="Arial"/>
        </w:rPr>
        <w:t>El Pp identifica a la población total que presenta el problema público o necesidad que justifica su existencia (población potencial).</w:t>
      </w:r>
    </w:p>
    <w:p w14:paraId="6218117A" w14:textId="77777777" w:rsidR="002C5D2C" w:rsidRPr="00074E91" w:rsidRDefault="002C5D2C" w:rsidP="00190ACD">
      <w:pPr>
        <w:pStyle w:val="Prrafodelista"/>
        <w:numPr>
          <w:ilvl w:val="0"/>
          <w:numId w:val="24"/>
        </w:numPr>
        <w:spacing w:line="360" w:lineRule="auto"/>
        <w:rPr>
          <w:rFonts w:cs="Arial"/>
        </w:rPr>
      </w:pPr>
      <w:r w:rsidRPr="00074E91">
        <w:rPr>
          <w:rFonts w:cs="Arial"/>
        </w:rPr>
        <w:t>El Pp identifica a la población que tiene planeado atender para cubrir la población potencial y que es elegible para su atención (población objetivo).</w:t>
      </w:r>
    </w:p>
    <w:p w14:paraId="5063603E" w14:textId="77777777" w:rsidR="002C5D2C" w:rsidRPr="00074E91" w:rsidRDefault="002C5D2C" w:rsidP="00190ACD">
      <w:pPr>
        <w:pStyle w:val="Prrafodelista"/>
        <w:numPr>
          <w:ilvl w:val="0"/>
          <w:numId w:val="24"/>
        </w:numPr>
        <w:spacing w:line="360" w:lineRule="auto"/>
        <w:rPr>
          <w:rFonts w:cs="Arial"/>
        </w:rPr>
      </w:pPr>
      <w:r w:rsidRPr="00074E91">
        <w:rPr>
          <w:rFonts w:cs="Arial"/>
        </w:rPr>
        <w:t>El Pp identifica a la población atendida en un ejercicio fiscal y ésta corresponde a un subconjunto o totalidad de la población objetivo (población atendida).</w:t>
      </w:r>
    </w:p>
    <w:p w14:paraId="0F700C15" w14:textId="77777777" w:rsidR="002C5D2C" w:rsidRPr="00074E91" w:rsidRDefault="002C5D2C" w:rsidP="00190ACD">
      <w:pPr>
        <w:pStyle w:val="Prrafodelista"/>
        <w:numPr>
          <w:ilvl w:val="0"/>
          <w:numId w:val="24"/>
        </w:numPr>
        <w:spacing w:line="360" w:lineRule="auto"/>
        <w:rPr>
          <w:rFonts w:cs="Arial"/>
        </w:rPr>
      </w:pPr>
      <w:r w:rsidRPr="00074E91">
        <w:rPr>
          <w:rFonts w:cs="Arial"/>
        </w:rPr>
        <w:t>La población potencial, objetivo y atendida son consistentes entre los diversos documentos estratégicos del programa, por ejemplo: diagnóstico, documento normativo, lineamientos operativos, Instrumento de Seguimiento del Desempeño, entre otros.</w:t>
      </w:r>
    </w:p>
    <w:p w14:paraId="588C4823" w14:textId="77777777" w:rsidR="002C5D2C" w:rsidRPr="00074E91" w:rsidRDefault="002C5D2C" w:rsidP="002C5D2C">
      <w:pPr>
        <w:spacing w:before="240" w:after="120"/>
        <w:rPr>
          <w:rFonts w:cs="Arial"/>
          <w:b/>
          <w:u w:val="single"/>
        </w:rPr>
      </w:pPr>
      <w:r w:rsidRPr="00074E91">
        <w:rPr>
          <w:rFonts w:cs="Arial"/>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713"/>
        <w:gridCol w:w="7524"/>
      </w:tblGrid>
      <w:tr w:rsidR="002C5D2C" w:rsidRPr="00074E91" w14:paraId="695FF0A1" w14:textId="77777777" w:rsidTr="00043D65">
        <w:trPr>
          <w:trHeight w:val="340"/>
          <w:tblHeader/>
          <w:jc w:val="right"/>
        </w:trPr>
        <w:tc>
          <w:tcPr>
            <w:tcW w:w="433" w:type="pct"/>
            <w:vMerge w:val="restart"/>
            <w:shd w:val="clear" w:color="auto" w:fill="7F7F7F" w:themeFill="text1" w:themeFillTint="80"/>
            <w:vAlign w:val="center"/>
          </w:tcPr>
          <w:p w14:paraId="18B83DA2" w14:textId="77777777" w:rsidR="002C5D2C" w:rsidRPr="00074E91" w:rsidRDefault="002C5D2C"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074E91">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6F213E4D" w14:textId="77777777" w:rsidR="002C5D2C" w:rsidRPr="00074E91" w:rsidRDefault="002C5D2C"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074E91">
              <w:rPr>
                <w:rFonts w:eastAsia="Times" w:cs="Arial"/>
                <w:b/>
                <w:iCs/>
                <w:color w:val="FFFFFF" w:themeColor="background1"/>
                <w:szCs w:val="20"/>
                <w:lang w:eastAsia="es-MX"/>
              </w:rPr>
              <w:t>Criterios</w:t>
            </w:r>
          </w:p>
        </w:tc>
      </w:tr>
      <w:tr w:rsidR="002C5D2C" w:rsidRPr="00074E91" w14:paraId="52D4A2E5" w14:textId="77777777" w:rsidTr="00043D65">
        <w:trPr>
          <w:jc w:val="right"/>
        </w:trPr>
        <w:tc>
          <w:tcPr>
            <w:tcW w:w="433" w:type="pct"/>
            <w:vMerge/>
            <w:vAlign w:val="center"/>
          </w:tcPr>
          <w:p w14:paraId="209F369E" w14:textId="77777777" w:rsidR="002C5D2C" w:rsidRPr="00074E91" w:rsidRDefault="002C5D2C"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16FF14FB" w14:textId="77777777" w:rsidR="002C5D2C" w:rsidRPr="00074E91" w:rsidRDefault="002C5D2C" w:rsidP="00FC66EE">
            <w:pPr>
              <w:spacing w:after="0" w:line="240" w:lineRule="atLeast"/>
              <w:jc w:val="left"/>
              <w:rPr>
                <w:rFonts w:eastAsia="Calibri" w:cs="Arial"/>
                <w:szCs w:val="20"/>
                <w:lang w:eastAsia="es-MX"/>
              </w:rPr>
            </w:pPr>
            <w:r w:rsidRPr="00074E91">
              <w:rPr>
                <w:rFonts w:eastAsia="Calibri" w:cs="Arial"/>
                <w:szCs w:val="20"/>
                <w:lang w:eastAsia="es-MX"/>
              </w:rPr>
              <w:t>Las poblaciones cuentan con:</w:t>
            </w:r>
          </w:p>
        </w:tc>
      </w:tr>
      <w:tr w:rsidR="002C5D2C" w:rsidRPr="00074E91" w14:paraId="6E66B16D" w14:textId="77777777" w:rsidTr="00182C84">
        <w:trPr>
          <w:jc w:val="right"/>
        </w:trPr>
        <w:tc>
          <w:tcPr>
            <w:tcW w:w="433" w:type="pct"/>
            <w:vAlign w:val="center"/>
          </w:tcPr>
          <w:p w14:paraId="427A107F" w14:textId="77777777" w:rsidR="002C5D2C" w:rsidRPr="00074E91" w:rsidRDefault="00182C84"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sidRPr="00074E91">
              <w:rPr>
                <w:rFonts w:eastAsia="Calibri" w:cs="Arial"/>
                <w:szCs w:val="20"/>
                <w:lang w:eastAsia="es-MX"/>
              </w:rPr>
              <w:t>3</w:t>
            </w:r>
          </w:p>
        </w:tc>
        <w:tc>
          <w:tcPr>
            <w:tcW w:w="4567" w:type="pct"/>
            <w:vAlign w:val="center"/>
          </w:tcPr>
          <w:p w14:paraId="5FD7A1CA" w14:textId="77777777" w:rsidR="002C5D2C" w:rsidRPr="00074E91" w:rsidRDefault="00182C84" w:rsidP="00182C84">
            <w:pPr>
              <w:numPr>
                <w:ilvl w:val="0"/>
                <w:numId w:val="1"/>
              </w:numPr>
              <w:spacing w:after="0" w:line="240" w:lineRule="atLeast"/>
              <w:jc w:val="left"/>
              <w:rPr>
                <w:rFonts w:eastAsia="Calibri" w:cs="Arial"/>
                <w:szCs w:val="20"/>
                <w:lang w:eastAsia="es-MX"/>
              </w:rPr>
            </w:pPr>
            <w:r w:rsidRPr="00074E91">
              <w:rPr>
                <w:rFonts w:eastAsia="Calibri" w:cs="Arial"/>
                <w:szCs w:val="20"/>
                <w:lang w:eastAsia="es-MX"/>
              </w:rPr>
              <w:t xml:space="preserve">Tres de los criterios de valoración. </w:t>
            </w:r>
          </w:p>
        </w:tc>
      </w:tr>
    </w:tbl>
    <w:p w14:paraId="3D405F8F" w14:textId="291DE795" w:rsidR="00FE7239" w:rsidRPr="00074E91" w:rsidRDefault="00043D65" w:rsidP="000978CE">
      <w:pPr>
        <w:spacing w:before="240" w:after="120"/>
        <w:rPr>
          <w:rFonts w:cs="Arial"/>
        </w:rPr>
      </w:pPr>
      <w:r w:rsidRPr="00074E91">
        <w:rPr>
          <w:rFonts w:cs="Arial"/>
          <w:b/>
          <w:u w:val="single"/>
        </w:rPr>
        <w:t>Justificación:</w:t>
      </w:r>
      <w:r w:rsidR="000978CE" w:rsidRPr="000978CE">
        <w:rPr>
          <w:rFonts w:cs="Arial"/>
          <w:bCs/>
        </w:rPr>
        <w:t xml:space="preserve"> </w:t>
      </w:r>
      <w:r w:rsidR="00FE7239" w:rsidRPr="00074E91">
        <w:rPr>
          <w:rFonts w:cs="Arial"/>
        </w:rPr>
        <w:t xml:space="preserve">La Unidad Responsable (UR) del Pp "Servicios de Educación Superior y Posgrado de Calidad" comenta que la identificación y delimitación de sus beneficiarios es consistente y verificable a través de sus registros institucionales. La población potencial se define como los egresados de educación media </w:t>
      </w:r>
      <w:proofErr w:type="gramStart"/>
      <w:r w:rsidR="00FE7239" w:rsidRPr="00074E91">
        <w:rPr>
          <w:rFonts w:cs="Arial"/>
        </w:rPr>
        <w:t>superior interesados</w:t>
      </w:r>
      <w:proofErr w:type="gramEnd"/>
      <w:r w:rsidR="00FE7239" w:rsidRPr="00074E91">
        <w:rPr>
          <w:rFonts w:cs="Arial"/>
        </w:rPr>
        <w:t xml:space="preserve"> en el modelo por competencias y la opción BIS; aunque la cifra oficial estatal se reporta como "No Disponible" por rezagos en las fuentes externas, su captación se acredita empíricamente con la aplicación de exámenes de ubicación y procesos de inducción. Por su parte, la población objetivo y la atendida muestran una planeación sólida, alcanzando una matrícula real de 577 alumnos en el ciclo 2024–2025, lo que representa un crecimiento del 17.3% respecto al periodo anterior. Esta estructura garantiza una cobertura del 100% en tutorías y refleja una alta satisfacción en el sector productivo, validando la trazabilidad entre la captación de estudiantes y su formación académica.</w:t>
      </w:r>
    </w:p>
    <w:p w14:paraId="3FD90654" w14:textId="1533BB24" w:rsidR="00FE7239" w:rsidRPr="00074E91" w:rsidRDefault="00FE7239" w:rsidP="00FE7239">
      <w:pPr>
        <w:rPr>
          <w:rFonts w:cs="Arial"/>
        </w:rPr>
      </w:pPr>
      <w:r w:rsidRPr="00074E91">
        <w:rPr>
          <w:rFonts w:cs="Arial"/>
        </w:rPr>
        <w:lastRenderedPageBreak/>
        <w:t xml:space="preserve">Sin </w:t>
      </w:r>
      <w:r w:rsidR="00385CF3" w:rsidRPr="00074E91">
        <w:rPr>
          <w:rFonts w:cs="Arial"/>
        </w:rPr>
        <w:t>embargo,</w:t>
      </w:r>
      <w:r w:rsidRPr="00074E91">
        <w:rPr>
          <w:rFonts w:cs="Arial"/>
        </w:rPr>
        <w:t xml:space="preserve"> </w:t>
      </w:r>
      <w:r w:rsidR="00385CF3" w:rsidRPr="00074E91">
        <w:rPr>
          <w:rFonts w:cs="Arial"/>
        </w:rPr>
        <w:t>e</w:t>
      </w:r>
      <w:r w:rsidRPr="00074E91">
        <w:rPr>
          <w:rFonts w:cs="Arial"/>
        </w:rPr>
        <w:t>l análisis de la población beneficiaria presentado por la UR muestra una desconexión metodológica con Pp. Mientras que la UR define su población potencial basándose en los egresados de Educación Media Superior interesados en su oferta específica, dicha definición y sus respectivos cálculos difieren de la MIR del Pp</w:t>
      </w:r>
      <w:r w:rsidR="005A47B9" w:rsidRPr="00074E91">
        <w:rPr>
          <w:rFonts w:cs="Arial"/>
        </w:rPr>
        <w:t xml:space="preserve"> </w:t>
      </w:r>
      <w:r w:rsidRPr="00074E91">
        <w:rPr>
          <w:rFonts w:cs="Arial"/>
        </w:rPr>
        <w:t>E053</w:t>
      </w:r>
      <w:r w:rsidR="005A47B9" w:rsidRPr="00074E91">
        <w:rPr>
          <w:rFonts w:cs="Arial"/>
        </w:rPr>
        <w:t xml:space="preserve"> Servicios de Educación Superior y Posgrado de Calidad</w:t>
      </w:r>
      <w:r w:rsidRPr="00074E91">
        <w:rPr>
          <w:rFonts w:cs="Arial"/>
        </w:rPr>
        <w:t xml:space="preserve"> </w:t>
      </w:r>
      <w:r w:rsidR="005A47B9" w:rsidRPr="00074E91">
        <w:rPr>
          <w:rFonts w:cs="Arial"/>
        </w:rPr>
        <w:t>publicada</w:t>
      </w:r>
      <w:r w:rsidRPr="00074E91">
        <w:rPr>
          <w:rFonts w:cs="Arial"/>
        </w:rPr>
        <w:t xml:space="preserve"> en el Tomo IV de la LIPEES 2024, donde se esta</w:t>
      </w:r>
      <w:r w:rsidR="005A47B9" w:rsidRPr="00074E91">
        <w:rPr>
          <w:rFonts w:cs="Arial"/>
        </w:rPr>
        <w:t>blece</w:t>
      </w:r>
      <w:r w:rsidRPr="00074E91">
        <w:rPr>
          <w:rFonts w:cs="Arial"/>
        </w:rPr>
        <w:t>:</w:t>
      </w:r>
    </w:p>
    <w:p w14:paraId="0B8D201C" w14:textId="0ADE4A5B" w:rsidR="00FE7239" w:rsidRPr="00074E91" w:rsidRDefault="00FE7239" w:rsidP="000978CE">
      <w:pPr>
        <w:pStyle w:val="Prrafodelista"/>
        <w:numPr>
          <w:ilvl w:val="0"/>
          <w:numId w:val="89"/>
        </w:numPr>
        <w:spacing w:line="360" w:lineRule="auto"/>
        <w:rPr>
          <w:rFonts w:cs="Arial"/>
        </w:rPr>
      </w:pPr>
      <w:r w:rsidRPr="00074E91">
        <w:rPr>
          <w:rFonts w:cs="Arial"/>
        </w:rPr>
        <w:t>Definición de Población Potencial: Todos los alumnos de educación superior de Sinaloa, en todos sus sostenimientos y niveles.</w:t>
      </w:r>
    </w:p>
    <w:p w14:paraId="14E5E0C8" w14:textId="555C1CAF" w:rsidR="00FE7239" w:rsidRPr="00074E91" w:rsidRDefault="00FE7239" w:rsidP="000978CE">
      <w:pPr>
        <w:pStyle w:val="Prrafodelista"/>
        <w:numPr>
          <w:ilvl w:val="0"/>
          <w:numId w:val="89"/>
        </w:numPr>
        <w:spacing w:line="360" w:lineRule="auto"/>
        <w:rPr>
          <w:rFonts w:cs="Arial"/>
        </w:rPr>
      </w:pPr>
      <w:r w:rsidRPr="00074E91">
        <w:rPr>
          <w:rFonts w:cs="Arial"/>
        </w:rPr>
        <w:t>Cuantificación de Población Potencial: 133,430 alumnos de educación superior.</w:t>
      </w:r>
    </w:p>
    <w:p w14:paraId="0EE5DB4B" w14:textId="7B02A59E" w:rsidR="00FE7239" w:rsidRPr="00074E91" w:rsidRDefault="00FE7239" w:rsidP="000978CE">
      <w:pPr>
        <w:pStyle w:val="Prrafodelista"/>
        <w:numPr>
          <w:ilvl w:val="0"/>
          <w:numId w:val="89"/>
        </w:numPr>
        <w:spacing w:line="360" w:lineRule="auto"/>
        <w:rPr>
          <w:rFonts w:cs="Arial"/>
        </w:rPr>
      </w:pPr>
      <w:r w:rsidRPr="00074E91">
        <w:rPr>
          <w:rFonts w:cs="Arial"/>
        </w:rPr>
        <w:t>Cuantificación de Población Objetivo: 133,430 alumnos de educación superior.</w:t>
      </w:r>
    </w:p>
    <w:p w14:paraId="5961281F" w14:textId="1BD00873" w:rsidR="00685782" w:rsidRPr="00074E91" w:rsidRDefault="00FE7239" w:rsidP="00FE7239">
      <w:pPr>
        <w:rPr>
          <w:rFonts w:cs="Arial"/>
        </w:rPr>
      </w:pPr>
      <w:r w:rsidRPr="00074E91">
        <w:rPr>
          <w:rFonts w:cs="Arial"/>
        </w:rPr>
        <w:t xml:space="preserve">Esta disparidad es </w:t>
      </w:r>
      <w:r w:rsidR="005A47B9" w:rsidRPr="00074E91">
        <w:rPr>
          <w:rFonts w:cs="Arial"/>
        </w:rPr>
        <w:t>relevante</w:t>
      </w:r>
      <w:r w:rsidRPr="00074E91">
        <w:rPr>
          <w:rFonts w:cs="Arial"/>
        </w:rPr>
        <w:t xml:space="preserve">, ya que la propuesta de la UR se enfoca en la captación de nuevos estudiantes (demanda de servicios), mientras que la MIR oficial vigente </w:t>
      </w:r>
      <w:r w:rsidR="005A47B9" w:rsidRPr="00074E91">
        <w:rPr>
          <w:rFonts w:cs="Arial"/>
        </w:rPr>
        <w:t xml:space="preserve">incide </w:t>
      </w:r>
      <w:r w:rsidRPr="00074E91">
        <w:rPr>
          <w:rFonts w:cs="Arial"/>
        </w:rPr>
        <w:t>sobre la totalidad del universo de educación superior para cumplir con el objetivo de "disminuir el abandono escolar". Al no utilizar la base poblacional ni las cifras de 133,430 alumnos publicadas en el Tomo IV, la redacción de la UR genera una duplicidad de diagnósticos que contraviene el principio de unicidad del problema central y fragmenta la coherencia metodológica del programa. Por lo tanto, se recomienda realizar la alineación inmediata de las poblaciones y metas a la versión vigente en la LIPEES 2024.</w:t>
      </w:r>
    </w:p>
    <w:p w14:paraId="7F4D0320" w14:textId="77777777" w:rsidR="002C5D2C" w:rsidRPr="00074E91" w:rsidRDefault="002C5D2C" w:rsidP="00190ACD">
      <w:pPr>
        <w:pStyle w:val="Prrafodelista"/>
        <w:numPr>
          <w:ilvl w:val="0"/>
          <w:numId w:val="18"/>
        </w:numPr>
        <w:spacing w:after="0" w:line="360" w:lineRule="auto"/>
        <w:rPr>
          <w:rFonts w:cs="Arial"/>
          <w:b/>
        </w:rPr>
      </w:pPr>
      <w:r w:rsidRPr="00074E91">
        <w:rPr>
          <w:rFonts w:cs="Arial"/>
          <w:b/>
        </w:rPr>
        <w:t>Experiencias de atención</w:t>
      </w:r>
    </w:p>
    <w:p w14:paraId="487DE8F9" w14:textId="77777777" w:rsidR="002C5D2C" w:rsidRPr="00074E91" w:rsidRDefault="002C5D2C" w:rsidP="002C5D2C">
      <w:pPr>
        <w:spacing w:after="0" w:line="240" w:lineRule="auto"/>
        <w:rPr>
          <w:rFonts w:cs="Arial"/>
        </w:rPr>
      </w:pPr>
    </w:p>
    <w:p w14:paraId="215F6629" w14:textId="77777777" w:rsidR="002C5D2C" w:rsidRPr="00074E91" w:rsidRDefault="002C5D2C" w:rsidP="00190ACD">
      <w:pPr>
        <w:pStyle w:val="Prrafodelista"/>
        <w:numPr>
          <w:ilvl w:val="0"/>
          <w:numId w:val="13"/>
        </w:numPr>
        <w:spacing w:line="360" w:lineRule="auto"/>
        <w:rPr>
          <w:rFonts w:cs="Arial"/>
          <w:b/>
        </w:rPr>
      </w:pPr>
      <w:r w:rsidRPr="00074E91">
        <w:rPr>
          <w:rFonts w:cs="Arial"/>
          <w:b/>
        </w:rPr>
        <w:t>¿Existe justificación teórica o empírica documentada que sustente el tipo de intervención que el Pp lleva a cabo?</w:t>
      </w:r>
    </w:p>
    <w:p w14:paraId="63DEF43B" w14:textId="77777777" w:rsidR="002C5D2C" w:rsidRPr="00074E91" w:rsidRDefault="002C5D2C" w:rsidP="002C5D2C">
      <w:pPr>
        <w:spacing w:before="240" w:after="120"/>
        <w:rPr>
          <w:rFonts w:cs="Arial"/>
          <w:b/>
          <w:u w:val="single"/>
        </w:rPr>
      </w:pPr>
      <w:r w:rsidRPr="00074E91">
        <w:rPr>
          <w:rFonts w:cs="Arial"/>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713"/>
        <w:gridCol w:w="7524"/>
      </w:tblGrid>
      <w:tr w:rsidR="002C5D2C" w:rsidRPr="00074E91" w14:paraId="23F4E91F" w14:textId="77777777" w:rsidTr="00687562">
        <w:trPr>
          <w:trHeight w:val="340"/>
          <w:tblHeader/>
          <w:jc w:val="right"/>
        </w:trPr>
        <w:tc>
          <w:tcPr>
            <w:tcW w:w="433" w:type="pct"/>
            <w:vMerge w:val="restart"/>
            <w:shd w:val="clear" w:color="auto" w:fill="7F7F7F" w:themeFill="text1" w:themeFillTint="80"/>
            <w:vAlign w:val="center"/>
          </w:tcPr>
          <w:p w14:paraId="7B4C6441" w14:textId="77777777" w:rsidR="002C5D2C" w:rsidRPr="00074E91" w:rsidRDefault="002C5D2C"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074E91">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3CAF163D" w14:textId="77777777" w:rsidR="002C5D2C" w:rsidRPr="00074E91" w:rsidRDefault="002C5D2C"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074E91">
              <w:rPr>
                <w:rFonts w:eastAsia="Times" w:cs="Arial"/>
                <w:b/>
                <w:iCs/>
                <w:color w:val="FFFFFF" w:themeColor="background1"/>
                <w:szCs w:val="20"/>
                <w:lang w:eastAsia="es-MX"/>
              </w:rPr>
              <w:t>Criterios</w:t>
            </w:r>
          </w:p>
        </w:tc>
      </w:tr>
      <w:tr w:rsidR="002C5D2C" w:rsidRPr="00074E91" w14:paraId="63B73480" w14:textId="77777777" w:rsidTr="00687562">
        <w:trPr>
          <w:jc w:val="right"/>
        </w:trPr>
        <w:tc>
          <w:tcPr>
            <w:tcW w:w="433" w:type="pct"/>
            <w:vMerge/>
            <w:vAlign w:val="center"/>
          </w:tcPr>
          <w:p w14:paraId="059FFE44" w14:textId="77777777" w:rsidR="002C5D2C" w:rsidRPr="00074E91" w:rsidRDefault="002C5D2C"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65EA2C6D" w14:textId="77777777" w:rsidR="002C5D2C" w:rsidRPr="00074E91" w:rsidRDefault="002C5D2C" w:rsidP="00FC66EE">
            <w:pPr>
              <w:spacing w:after="0" w:line="240" w:lineRule="atLeast"/>
              <w:jc w:val="left"/>
              <w:rPr>
                <w:rFonts w:eastAsia="Calibri" w:cs="Arial"/>
                <w:szCs w:val="20"/>
                <w:lang w:eastAsia="es-MX"/>
              </w:rPr>
            </w:pPr>
            <w:r w:rsidRPr="00074E91">
              <w:rPr>
                <w:rFonts w:eastAsia="Calibri" w:cs="Arial"/>
                <w:szCs w:val="20"/>
                <w:lang w:eastAsia="es-MX"/>
              </w:rPr>
              <w:t>La justificación teórica o empírica que sustenta el tipo de intervención:</w:t>
            </w:r>
          </w:p>
        </w:tc>
      </w:tr>
      <w:tr w:rsidR="007E6FC8" w:rsidRPr="00074E91" w14:paraId="7F127D52" w14:textId="77777777" w:rsidTr="0085675B">
        <w:trPr>
          <w:jc w:val="right"/>
        </w:trPr>
        <w:tc>
          <w:tcPr>
            <w:tcW w:w="433" w:type="pct"/>
          </w:tcPr>
          <w:p w14:paraId="066609B7" w14:textId="4FE0D2EE" w:rsidR="007E6FC8" w:rsidRPr="00074E91" w:rsidRDefault="007E6FC8"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sidRPr="00074E91">
              <w:rPr>
                <w:rFonts w:cs="Arial"/>
              </w:rPr>
              <w:t>0</w:t>
            </w:r>
          </w:p>
        </w:tc>
        <w:tc>
          <w:tcPr>
            <w:tcW w:w="4567" w:type="pct"/>
          </w:tcPr>
          <w:p w14:paraId="138F6496" w14:textId="1185BEA3" w:rsidR="007E6FC8" w:rsidRPr="00074E91" w:rsidRDefault="007E6FC8" w:rsidP="00584097">
            <w:pPr>
              <w:numPr>
                <w:ilvl w:val="0"/>
                <w:numId w:val="1"/>
              </w:numPr>
              <w:spacing w:after="0" w:line="240" w:lineRule="atLeast"/>
              <w:rPr>
                <w:rFonts w:eastAsia="Calibri" w:cs="Arial"/>
                <w:szCs w:val="20"/>
                <w:lang w:eastAsia="es-MX"/>
              </w:rPr>
            </w:pPr>
            <w:r w:rsidRPr="00074E91">
              <w:rPr>
                <w:rFonts w:cs="Arial"/>
              </w:rPr>
              <w:t>No cumple con los criterios de valoración.</w:t>
            </w:r>
          </w:p>
        </w:tc>
      </w:tr>
    </w:tbl>
    <w:p w14:paraId="30AE01C2" w14:textId="5C976E9D" w:rsidR="00AF4AFD" w:rsidRPr="00074E91" w:rsidRDefault="00687562" w:rsidP="000978CE">
      <w:pPr>
        <w:spacing w:before="240" w:after="120"/>
        <w:rPr>
          <w:rFonts w:cs="Arial"/>
        </w:rPr>
      </w:pPr>
      <w:r w:rsidRPr="00074E91">
        <w:rPr>
          <w:rFonts w:cs="Arial"/>
          <w:b/>
          <w:u w:val="single"/>
        </w:rPr>
        <w:t>Justificación:</w:t>
      </w:r>
      <w:r w:rsidR="000978CE" w:rsidRPr="000978CE">
        <w:rPr>
          <w:rFonts w:cs="Arial"/>
          <w:bCs/>
        </w:rPr>
        <w:t xml:space="preserve"> </w:t>
      </w:r>
      <w:r w:rsidR="00AF4AFD" w:rsidRPr="00074E91">
        <w:rPr>
          <w:rFonts w:cs="Arial"/>
        </w:rPr>
        <w:t xml:space="preserve">La UR evaluada a cargo </w:t>
      </w:r>
      <w:r w:rsidR="00385CF3" w:rsidRPr="00074E91">
        <w:rPr>
          <w:rFonts w:cs="Arial"/>
        </w:rPr>
        <w:t>del programa</w:t>
      </w:r>
      <w:r w:rsidR="00AF4AFD" w:rsidRPr="00074E91">
        <w:rPr>
          <w:rFonts w:cs="Arial"/>
        </w:rPr>
        <w:t xml:space="preserve"> presupuestario "E053 Servicios de Educación Superior y Posgrado de Calidad" fundamenta su intervención en un modelo de formación por competencias con un sólido sustento teórico-empírico, diseñado para reducir las brechas de pertinencia e inserción laboral. Su arquitectura institucional, articulada mediante la Metodología de Marco Lógico, vincula eficazmente el acompañamiento académico y la vinculación temprana con el sector productivo a través de cuatro ejes estratégicos: tutorías institucionales con cobertura total, estadías profesionales obligatorias en contextos reales, convenios de vinculación activa y procesos constantes de actualización curricular basados en el Análisis de Situación del Trabajo (AST).</w:t>
      </w:r>
    </w:p>
    <w:p w14:paraId="4048722C" w14:textId="0A7EDB7D" w:rsidR="00685782" w:rsidRPr="00074E91" w:rsidRDefault="00AF4AFD" w:rsidP="00AF4AFD">
      <w:pPr>
        <w:rPr>
          <w:rFonts w:cs="Arial"/>
        </w:rPr>
      </w:pPr>
      <w:r w:rsidRPr="00074E91">
        <w:rPr>
          <w:rFonts w:cs="Arial"/>
        </w:rPr>
        <w:lastRenderedPageBreak/>
        <w:t>La evidencia generada en 2024 ratifica la validez de este mecanismo causal, reportando resultados intermedios de alto impacto, como una tasa de liberación de estadías que supera el 91% en niveles de continuidad y alcanza el 98.4% en Técnico Superior Universitario, con una notable inserción en el sector privado. Este desempeño se complementa con una gestión de vinculación que superó ampliamente sus metas anuales (145% en convenios y 300% en sesiones de consejo) y la operación sistemática del modelo BIS para fortalecer el bilingüismo. A pesar de la reprogramación de ciertos hitos de acreditación, el programa demuestra una gestión activa del ciclo de calidad y el uso intensivo de infraestructura especializada, lo que se traduce en efectos positivos directos sobre la titulación oportuna, la pertinencia formativa y la</w:t>
      </w:r>
      <w:r w:rsidR="00A20613" w:rsidRPr="00074E91">
        <w:rPr>
          <w:rFonts w:cs="Arial"/>
        </w:rPr>
        <w:t xml:space="preserve"> empleabilidad de los egresados</w:t>
      </w:r>
      <w:r w:rsidR="00685782" w:rsidRPr="00074E91">
        <w:rPr>
          <w:rFonts w:cs="Arial"/>
        </w:rPr>
        <w:t>.</w:t>
      </w:r>
    </w:p>
    <w:p w14:paraId="3FB6F2DF" w14:textId="05C59DE0" w:rsidR="00A20613" w:rsidRPr="00074E91" w:rsidRDefault="007E6FC8" w:rsidP="00AF4AFD">
      <w:pPr>
        <w:rPr>
          <w:rFonts w:cs="Arial"/>
        </w:rPr>
      </w:pPr>
      <w:r w:rsidRPr="00074E91">
        <w:rPr>
          <w:rFonts w:cs="Arial"/>
        </w:rPr>
        <w:t>No obstante, aun cuando pudiera existir una justificación teórica o empírica documentada que sustente el tipo de intervención del Programa Presupuestario (Pp), la propuesta presentada no se encuentra alineada con los documentos normativos y metodológicos que dieron origen a la MIR E053 publicada en la LIPEES 2024, por lo que no puede calificarse como una alternativa adecuada sustente el tipo de intervención.</w:t>
      </w:r>
    </w:p>
    <w:p w14:paraId="3650EA4A" w14:textId="77777777" w:rsidR="00CA662A" w:rsidRPr="00074E91" w:rsidRDefault="00CA662A" w:rsidP="00190ACD">
      <w:pPr>
        <w:pStyle w:val="Prrafodelista"/>
        <w:numPr>
          <w:ilvl w:val="0"/>
          <w:numId w:val="18"/>
        </w:numPr>
        <w:spacing w:after="0" w:line="360" w:lineRule="auto"/>
        <w:rPr>
          <w:rFonts w:cs="Arial"/>
          <w:b/>
        </w:rPr>
      </w:pPr>
      <w:r w:rsidRPr="00074E91">
        <w:rPr>
          <w:rFonts w:cs="Arial"/>
          <w:b/>
        </w:rPr>
        <w:t>Selección de alternativas</w:t>
      </w:r>
    </w:p>
    <w:p w14:paraId="5938DD5E" w14:textId="77777777" w:rsidR="00CA662A" w:rsidRPr="00074E91" w:rsidRDefault="00CA662A" w:rsidP="00CA662A">
      <w:pPr>
        <w:spacing w:after="0" w:line="240" w:lineRule="auto"/>
        <w:rPr>
          <w:rFonts w:cs="Arial"/>
        </w:rPr>
      </w:pPr>
    </w:p>
    <w:p w14:paraId="759139BC" w14:textId="77777777" w:rsidR="00CA662A" w:rsidRPr="00074E91" w:rsidRDefault="00CA662A" w:rsidP="00190ACD">
      <w:pPr>
        <w:pStyle w:val="Prrafodelista"/>
        <w:numPr>
          <w:ilvl w:val="0"/>
          <w:numId w:val="13"/>
        </w:numPr>
        <w:spacing w:line="360" w:lineRule="auto"/>
        <w:rPr>
          <w:rFonts w:cs="Arial"/>
          <w:b/>
        </w:rPr>
      </w:pPr>
      <w:r w:rsidRPr="00074E91">
        <w:rPr>
          <w:rFonts w:cs="Arial"/>
          <w:b/>
        </w:rPr>
        <w:t>¿El diseño del Pp se considera una alternativa óptima de intervención para atender el problema o necesidad pública que justifica la existencia del Pp?</w:t>
      </w:r>
    </w:p>
    <w:p w14:paraId="5F60D24A" w14:textId="77777777" w:rsidR="00CA662A" w:rsidRPr="00074E91" w:rsidRDefault="00CA662A" w:rsidP="00CA662A">
      <w:pPr>
        <w:spacing w:before="240" w:after="120"/>
        <w:rPr>
          <w:rFonts w:cs="Arial"/>
          <w:b/>
          <w:u w:val="single"/>
        </w:rPr>
      </w:pPr>
      <w:r w:rsidRPr="00074E91">
        <w:rPr>
          <w:rFonts w:cs="Arial"/>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713"/>
        <w:gridCol w:w="7524"/>
      </w:tblGrid>
      <w:tr w:rsidR="00CA662A" w:rsidRPr="00074E91" w14:paraId="223A09F1" w14:textId="77777777" w:rsidTr="00687562">
        <w:trPr>
          <w:trHeight w:val="340"/>
          <w:tblHeader/>
          <w:jc w:val="right"/>
        </w:trPr>
        <w:tc>
          <w:tcPr>
            <w:tcW w:w="433" w:type="pct"/>
            <w:shd w:val="clear" w:color="auto" w:fill="7F7F7F" w:themeFill="text1" w:themeFillTint="80"/>
            <w:vAlign w:val="center"/>
          </w:tcPr>
          <w:p w14:paraId="2070376D" w14:textId="77777777" w:rsidR="00CA662A" w:rsidRPr="00074E91" w:rsidRDefault="00CA662A"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074E91">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0C0B2293" w14:textId="77777777" w:rsidR="00CA662A" w:rsidRPr="00074E91" w:rsidRDefault="00CA662A"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074E91">
              <w:rPr>
                <w:rFonts w:eastAsia="Times" w:cs="Arial"/>
                <w:b/>
                <w:iCs/>
                <w:color w:val="FFFFFF" w:themeColor="background1"/>
                <w:szCs w:val="20"/>
                <w:lang w:eastAsia="es-MX"/>
              </w:rPr>
              <w:t>Respuesta</w:t>
            </w:r>
          </w:p>
        </w:tc>
      </w:tr>
      <w:tr w:rsidR="00CA662A" w:rsidRPr="00074E91" w14:paraId="418CAE64" w14:textId="77777777" w:rsidTr="00687562">
        <w:trPr>
          <w:jc w:val="right"/>
        </w:trPr>
        <w:tc>
          <w:tcPr>
            <w:tcW w:w="433" w:type="pct"/>
            <w:vAlign w:val="center"/>
          </w:tcPr>
          <w:p w14:paraId="279C204B" w14:textId="3B696B92" w:rsidR="00CA662A" w:rsidRPr="00074E91" w:rsidRDefault="00AF4AFD"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sidRPr="00074E91">
              <w:rPr>
                <w:rFonts w:eastAsia="Calibri" w:cs="Arial"/>
                <w:szCs w:val="20"/>
                <w:lang w:eastAsia="es-MX"/>
              </w:rPr>
              <w:t>0</w:t>
            </w:r>
          </w:p>
        </w:tc>
        <w:tc>
          <w:tcPr>
            <w:tcW w:w="4567" w:type="pct"/>
            <w:vAlign w:val="center"/>
          </w:tcPr>
          <w:p w14:paraId="2B8FAA80" w14:textId="223B7475" w:rsidR="00CA662A" w:rsidRPr="00074E91" w:rsidRDefault="00AF4AFD" w:rsidP="00AF4AFD">
            <w:pPr>
              <w:numPr>
                <w:ilvl w:val="0"/>
                <w:numId w:val="1"/>
              </w:numPr>
              <w:spacing w:after="0" w:line="240" w:lineRule="atLeast"/>
              <w:rPr>
                <w:rFonts w:cs="Arial"/>
                <w:szCs w:val="20"/>
              </w:rPr>
            </w:pPr>
            <w:r w:rsidRPr="00074E91">
              <w:rPr>
                <w:rFonts w:cs="Arial"/>
                <w:szCs w:val="20"/>
              </w:rPr>
              <w:t>La instancia evaluadora considera que el diseño del Pp no es una alternativa óptima de intervención.</w:t>
            </w:r>
          </w:p>
        </w:tc>
      </w:tr>
    </w:tbl>
    <w:p w14:paraId="6B7516FA" w14:textId="706A0DE7" w:rsidR="00AF4AFD" w:rsidRPr="00074E91" w:rsidRDefault="00687562" w:rsidP="000978CE">
      <w:pPr>
        <w:spacing w:before="240" w:after="120"/>
        <w:rPr>
          <w:rFonts w:cs="Arial"/>
        </w:rPr>
      </w:pPr>
      <w:r w:rsidRPr="00074E91">
        <w:rPr>
          <w:rFonts w:cs="Arial"/>
          <w:b/>
          <w:u w:val="single"/>
        </w:rPr>
        <w:t>Justificación:</w:t>
      </w:r>
      <w:r w:rsidR="000978CE" w:rsidRPr="000978CE">
        <w:rPr>
          <w:rFonts w:cs="Arial"/>
          <w:bCs/>
        </w:rPr>
        <w:t xml:space="preserve"> </w:t>
      </w:r>
      <w:r w:rsidR="00AF4AFD" w:rsidRPr="00074E91">
        <w:rPr>
          <w:rFonts w:cs="Arial"/>
        </w:rPr>
        <w:t>La UR evaluada del Pp "E053 Servicios de Educación Superior y Posgrado de Calidad" externa que el diseño de este se ratifica como una alternativa óptima y eficaz para atender los retos de ingreso, permanencia e inserción laboral en su área de influencia, fundamentando su éxito en una sólida coherencia causal y una gestión eficiente de los recursos. La estrategia operativa, basada en la metodología de Marco Lógico, integra de manera articulada la docencia por competencias, infraestructura especializada, tutorías de cobertura total y un esquema de vinculación robusto a través de estadías obligatorias y consejos consultivos. Durante 2024, el programa demostró resultados intermedios consistentes, destacando tasas de liberación de estadías superiores al 90% y una trayectoria favorable en la eficiencia de costos, logrando reducir el gasto por estudiante mediante el aprovechamiento máximo de su capacidad instalada, que incluye 17 laboratorios, 35 aulas y una biblioteca con más de cinco mil títulos.</w:t>
      </w:r>
    </w:p>
    <w:p w14:paraId="2ADC5B96" w14:textId="7028AA0B" w:rsidR="001B348D" w:rsidRPr="00074E91" w:rsidRDefault="00AF4AFD" w:rsidP="00AF4AFD">
      <w:pPr>
        <w:rPr>
          <w:rFonts w:cs="Arial"/>
        </w:rPr>
      </w:pPr>
      <w:r w:rsidRPr="00074E91">
        <w:rPr>
          <w:rFonts w:cs="Arial"/>
        </w:rPr>
        <w:lastRenderedPageBreak/>
        <w:t>No obstante, esta propuesta al no estar alineada con el árbol de problemas y árbol de objetivos que dieron origen a la MIR E053 publi</w:t>
      </w:r>
      <w:r w:rsidR="00F43EAE" w:rsidRPr="00074E91">
        <w:rPr>
          <w:rFonts w:cs="Arial"/>
        </w:rPr>
        <w:t xml:space="preserve">cada en la LIPEES 2024 podemos </w:t>
      </w:r>
      <w:r w:rsidRPr="00074E91">
        <w:rPr>
          <w:rFonts w:cs="Arial"/>
          <w:szCs w:val="20"/>
        </w:rPr>
        <w:t>considera que el diseño del Pp no es una alternativa óptima de intervención.</w:t>
      </w:r>
      <w:r w:rsidR="00F43EAE" w:rsidRPr="00074E91">
        <w:rPr>
          <w:rFonts w:cs="Arial"/>
          <w:szCs w:val="20"/>
        </w:rPr>
        <w:t xml:space="preserve"> </w:t>
      </w:r>
    </w:p>
    <w:p w14:paraId="62B24E46" w14:textId="77777777" w:rsidR="005A7860" w:rsidRPr="00074E91" w:rsidRDefault="005A7860" w:rsidP="005A7860">
      <w:pPr>
        <w:pStyle w:val="Ttulo3"/>
        <w:rPr>
          <w:rFonts w:cs="Arial"/>
          <w:lang w:val="es-ES"/>
        </w:rPr>
      </w:pPr>
      <w:bookmarkStart w:id="51" w:name="_Toc227668603"/>
      <w:r w:rsidRPr="00074E91">
        <w:rPr>
          <w:rFonts w:cs="Arial"/>
          <w:lang w:val="es-ES"/>
        </w:rPr>
        <w:t>Sección IV. Diseño operativo</w:t>
      </w:r>
      <w:bookmarkEnd w:id="51"/>
    </w:p>
    <w:p w14:paraId="6D71C9E4" w14:textId="77777777" w:rsidR="005A7860" w:rsidRPr="00074E91" w:rsidRDefault="005A7860" w:rsidP="00190ACD">
      <w:pPr>
        <w:pStyle w:val="Prrafodelista"/>
        <w:numPr>
          <w:ilvl w:val="0"/>
          <w:numId w:val="26"/>
        </w:numPr>
        <w:spacing w:after="0" w:line="360" w:lineRule="auto"/>
        <w:rPr>
          <w:rFonts w:cs="Arial"/>
          <w:b/>
        </w:rPr>
      </w:pPr>
      <w:r w:rsidRPr="00074E91">
        <w:rPr>
          <w:rFonts w:cs="Arial"/>
          <w:b/>
        </w:rPr>
        <w:t>Cobertura</w:t>
      </w:r>
    </w:p>
    <w:p w14:paraId="415B1056" w14:textId="77777777" w:rsidR="005A7860" w:rsidRPr="00074E91" w:rsidRDefault="005A7860" w:rsidP="005A7860">
      <w:pPr>
        <w:spacing w:after="0" w:line="240" w:lineRule="auto"/>
        <w:rPr>
          <w:rFonts w:cs="Arial"/>
        </w:rPr>
      </w:pPr>
    </w:p>
    <w:p w14:paraId="5D8E8B48" w14:textId="77777777" w:rsidR="005A7860" w:rsidRPr="00074E91" w:rsidRDefault="005A7860" w:rsidP="00190ACD">
      <w:pPr>
        <w:pStyle w:val="Prrafodelista"/>
        <w:numPr>
          <w:ilvl w:val="0"/>
          <w:numId w:val="13"/>
        </w:numPr>
        <w:spacing w:line="360" w:lineRule="auto"/>
        <w:rPr>
          <w:rFonts w:cs="Arial"/>
          <w:b/>
        </w:rPr>
      </w:pPr>
      <w:r w:rsidRPr="00074E91">
        <w:rPr>
          <w:rFonts w:cs="Arial"/>
          <w:b/>
        </w:rPr>
        <w:t>¿El Pp cuenta con una estrategia de cobertura documentada para la atención de sus poblaciones potencial y objetivo?</w:t>
      </w:r>
    </w:p>
    <w:p w14:paraId="40823368" w14:textId="77777777" w:rsidR="005A7860" w:rsidRPr="00074E91" w:rsidRDefault="005A7860" w:rsidP="005A7860">
      <w:pPr>
        <w:spacing w:before="240" w:after="120"/>
        <w:rPr>
          <w:rFonts w:cs="Arial"/>
          <w:b/>
          <w:u w:val="single"/>
        </w:rPr>
      </w:pPr>
      <w:r w:rsidRPr="00074E91">
        <w:rPr>
          <w:rFonts w:cs="Arial"/>
          <w:b/>
          <w:u w:val="single"/>
        </w:rPr>
        <w:t>Criterios de valoración:</w:t>
      </w:r>
    </w:p>
    <w:p w14:paraId="5DFAE5FC" w14:textId="77777777" w:rsidR="005A7860" w:rsidRPr="00074E91" w:rsidRDefault="005A7860" w:rsidP="00190ACD">
      <w:pPr>
        <w:pStyle w:val="Prrafodelista"/>
        <w:numPr>
          <w:ilvl w:val="0"/>
          <w:numId w:val="27"/>
        </w:numPr>
        <w:spacing w:line="360" w:lineRule="auto"/>
        <w:rPr>
          <w:rFonts w:cs="Arial"/>
        </w:rPr>
      </w:pPr>
      <w:r w:rsidRPr="00074E91">
        <w:rPr>
          <w:rFonts w:cs="Arial"/>
        </w:rPr>
        <w:t>Cuantifica la evolución de las poblaciones potencial y objetivo para al menos los próximos tres años.</w:t>
      </w:r>
    </w:p>
    <w:p w14:paraId="7D55E024" w14:textId="77777777" w:rsidR="005A7860" w:rsidRPr="00074E91" w:rsidRDefault="005A7860" w:rsidP="00190ACD">
      <w:pPr>
        <w:pStyle w:val="Prrafodelista"/>
        <w:numPr>
          <w:ilvl w:val="0"/>
          <w:numId w:val="27"/>
        </w:numPr>
        <w:spacing w:line="360" w:lineRule="auto"/>
        <w:rPr>
          <w:rFonts w:cs="Arial"/>
        </w:rPr>
      </w:pPr>
      <w:r w:rsidRPr="00074E91">
        <w:rPr>
          <w:rFonts w:cs="Arial"/>
        </w:rPr>
        <w:t>Considera el presupuesto que requiere el Pp para atender a su población objetivo para al menos los tres próximos años.</w:t>
      </w:r>
    </w:p>
    <w:p w14:paraId="6284BEFC" w14:textId="77777777" w:rsidR="005A7860" w:rsidRPr="00074E91" w:rsidRDefault="005A7860" w:rsidP="00190ACD">
      <w:pPr>
        <w:pStyle w:val="Prrafodelista"/>
        <w:numPr>
          <w:ilvl w:val="0"/>
          <w:numId w:val="27"/>
        </w:numPr>
        <w:spacing w:line="360" w:lineRule="auto"/>
        <w:rPr>
          <w:rFonts w:cs="Arial"/>
        </w:rPr>
      </w:pPr>
      <w:r w:rsidRPr="00074E91">
        <w:rPr>
          <w:rFonts w:cs="Arial"/>
        </w:rPr>
        <w:t xml:space="preserve">Especifica metas de cobertura anuales para el plazo que se haya definido y los criterios con los que se establecen las metas son claros. </w:t>
      </w:r>
    </w:p>
    <w:p w14:paraId="199FB7C5" w14:textId="77777777" w:rsidR="005A7860" w:rsidRPr="00074E91" w:rsidRDefault="005A7860" w:rsidP="00190ACD">
      <w:pPr>
        <w:pStyle w:val="Prrafodelista"/>
        <w:numPr>
          <w:ilvl w:val="0"/>
          <w:numId w:val="27"/>
        </w:numPr>
        <w:spacing w:line="360" w:lineRule="auto"/>
        <w:rPr>
          <w:rFonts w:cs="Arial"/>
        </w:rPr>
      </w:pPr>
      <w:r w:rsidRPr="00074E91">
        <w:rPr>
          <w:rFonts w:cs="Arial"/>
        </w:rPr>
        <w:t>Con el diseño actual del Pp es posible alcanzar las metas de cobertura definidas (metas factibles).</w:t>
      </w:r>
    </w:p>
    <w:p w14:paraId="1F59BB76" w14:textId="77777777" w:rsidR="005A7860" w:rsidRPr="00074E91" w:rsidRDefault="005A7860" w:rsidP="005A7860">
      <w:pPr>
        <w:spacing w:before="240" w:after="120"/>
        <w:rPr>
          <w:rFonts w:cs="Arial"/>
          <w:b/>
          <w:u w:val="single"/>
        </w:rPr>
      </w:pPr>
      <w:r w:rsidRPr="00074E91">
        <w:rPr>
          <w:rFonts w:cs="Arial"/>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713"/>
        <w:gridCol w:w="7524"/>
      </w:tblGrid>
      <w:tr w:rsidR="005A7860" w:rsidRPr="00074E91" w14:paraId="372A5BE4" w14:textId="77777777" w:rsidTr="00687562">
        <w:trPr>
          <w:trHeight w:val="340"/>
          <w:tblHeader/>
          <w:jc w:val="right"/>
        </w:trPr>
        <w:tc>
          <w:tcPr>
            <w:tcW w:w="433" w:type="pct"/>
            <w:vMerge w:val="restart"/>
            <w:shd w:val="clear" w:color="auto" w:fill="7F7F7F" w:themeFill="text1" w:themeFillTint="80"/>
            <w:vAlign w:val="center"/>
          </w:tcPr>
          <w:p w14:paraId="50796EDD" w14:textId="77777777" w:rsidR="005A7860" w:rsidRPr="00074E91" w:rsidRDefault="005A786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074E91">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5D9EFBAF" w14:textId="77777777" w:rsidR="005A7860" w:rsidRPr="00074E91" w:rsidRDefault="005A786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074E91">
              <w:rPr>
                <w:rFonts w:eastAsia="Times" w:cs="Arial"/>
                <w:b/>
                <w:iCs/>
                <w:color w:val="FFFFFF" w:themeColor="background1"/>
                <w:szCs w:val="20"/>
                <w:lang w:eastAsia="es-MX"/>
              </w:rPr>
              <w:t>Criterios</w:t>
            </w:r>
          </w:p>
        </w:tc>
      </w:tr>
      <w:tr w:rsidR="005A7860" w:rsidRPr="00074E91" w14:paraId="049BDCB1" w14:textId="77777777" w:rsidTr="00687562">
        <w:trPr>
          <w:jc w:val="right"/>
        </w:trPr>
        <w:tc>
          <w:tcPr>
            <w:tcW w:w="433" w:type="pct"/>
            <w:vMerge/>
            <w:vAlign w:val="center"/>
          </w:tcPr>
          <w:p w14:paraId="6F140235" w14:textId="77777777" w:rsidR="005A7860" w:rsidRPr="00074E91" w:rsidRDefault="005A7860"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6DA596EC" w14:textId="77777777" w:rsidR="005A7860" w:rsidRPr="00074E91" w:rsidRDefault="005A7860" w:rsidP="00FC66EE">
            <w:pPr>
              <w:spacing w:after="0" w:line="240" w:lineRule="atLeast"/>
              <w:jc w:val="left"/>
              <w:rPr>
                <w:rFonts w:eastAsia="Calibri" w:cs="Arial"/>
                <w:szCs w:val="20"/>
                <w:lang w:eastAsia="es-MX"/>
              </w:rPr>
            </w:pPr>
            <w:r w:rsidRPr="00074E91">
              <w:rPr>
                <w:rFonts w:eastAsia="Calibri" w:cs="Arial"/>
                <w:szCs w:val="20"/>
                <w:lang w:eastAsia="es-MX"/>
              </w:rPr>
              <w:t>La estrategia de cobertura cuenta con:</w:t>
            </w:r>
          </w:p>
        </w:tc>
      </w:tr>
      <w:tr w:rsidR="005A7860" w:rsidRPr="00074E91" w14:paraId="471D9335" w14:textId="77777777" w:rsidTr="006D5000">
        <w:trPr>
          <w:jc w:val="right"/>
        </w:trPr>
        <w:tc>
          <w:tcPr>
            <w:tcW w:w="433" w:type="pct"/>
            <w:vAlign w:val="center"/>
          </w:tcPr>
          <w:p w14:paraId="6A6E16A4" w14:textId="61CC3923" w:rsidR="005A7860" w:rsidRPr="00074E91" w:rsidRDefault="0085675B"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sidRPr="00074E91">
              <w:rPr>
                <w:rFonts w:eastAsia="Calibri" w:cs="Arial"/>
                <w:szCs w:val="20"/>
                <w:lang w:eastAsia="es-MX"/>
              </w:rPr>
              <w:t>1</w:t>
            </w:r>
          </w:p>
        </w:tc>
        <w:tc>
          <w:tcPr>
            <w:tcW w:w="4567" w:type="pct"/>
            <w:vAlign w:val="center"/>
          </w:tcPr>
          <w:p w14:paraId="1C676F17" w14:textId="3D03F9F4" w:rsidR="005A7860" w:rsidRPr="00074E91" w:rsidRDefault="0085675B" w:rsidP="006D5000">
            <w:pPr>
              <w:numPr>
                <w:ilvl w:val="0"/>
                <w:numId w:val="1"/>
              </w:numPr>
              <w:spacing w:after="0" w:line="240" w:lineRule="atLeast"/>
              <w:jc w:val="left"/>
              <w:rPr>
                <w:rFonts w:eastAsia="Calibri" w:cs="Arial"/>
                <w:szCs w:val="20"/>
                <w:lang w:eastAsia="es-MX"/>
              </w:rPr>
            </w:pPr>
            <w:r w:rsidRPr="00074E91">
              <w:rPr>
                <w:rFonts w:eastAsia="Calibri" w:cs="Arial"/>
                <w:szCs w:val="20"/>
                <w:lang w:eastAsia="es-MX"/>
              </w:rPr>
              <w:t>Uno</w:t>
            </w:r>
            <w:r w:rsidR="006D5000" w:rsidRPr="00074E91">
              <w:rPr>
                <w:rFonts w:eastAsia="Calibri" w:cs="Arial"/>
                <w:szCs w:val="20"/>
                <w:lang w:eastAsia="es-MX"/>
              </w:rPr>
              <w:t xml:space="preserve"> de los criterios de valoración. </w:t>
            </w:r>
          </w:p>
        </w:tc>
      </w:tr>
    </w:tbl>
    <w:p w14:paraId="02842018" w14:textId="4F334C0F" w:rsidR="0085675B" w:rsidRPr="00074E91" w:rsidRDefault="00687562" w:rsidP="0085675B">
      <w:pPr>
        <w:spacing w:before="240" w:after="120"/>
        <w:rPr>
          <w:rFonts w:cs="Arial"/>
          <w:b/>
          <w:u w:val="single"/>
        </w:rPr>
      </w:pPr>
      <w:r w:rsidRPr="00074E91">
        <w:rPr>
          <w:rFonts w:cs="Arial"/>
          <w:b/>
          <w:u w:val="single"/>
        </w:rPr>
        <w:t>Justificación:</w:t>
      </w:r>
      <w:r w:rsidR="000978CE" w:rsidRPr="000978CE">
        <w:rPr>
          <w:rFonts w:cs="Arial"/>
          <w:bCs/>
        </w:rPr>
        <w:t xml:space="preserve"> </w:t>
      </w:r>
      <w:r w:rsidR="0085675B" w:rsidRPr="00074E91">
        <w:rPr>
          <w:rFonts w:cs="Arial"/>
        </w:rPr>
        <w:t>La UR externa que la estrategia de cobertura del Pp “Servicios de Educación Superior y Posgrado de Calidad” se encuentra formalmente documentada y presenta metas de atención viables, sustentadas en la capacidad operativa y presupuestaria, con una proyección de crecimiento anual del 5% en la matrícula. A partir de la matrícula atendida de 492 estudiantes en el ciclo 2023–2024 y 577 en 2024–2025, se proyecta alcanzar 606 en 2025–2026, 636 en 2026–2027 y 668 en 2027–2028.</w:t>
      </w:r>
    </w:p>
    <w:p w14:paraId="0B7DCE8F" w14:textId="21CFE6CD" w:rsidR="00710039" w:rsidRPr="00074E91" w:rsidRDefault="0085675B" w:rsidP="0085675B">
      <w:pPr>
        <w:rPr>
          <w:rFonts w:cs="Arial"/>
        </w:rPr>
      </w:pPr>
      <w:r w:rsidRPr="00074E91">
        <w:rPr>
          <w:rFonts w:cs="Arial"/>
        </w:rPr>
        <w:t xml:space="preserve">Se identifican con claridad las tres poblaciones clave: la población potencial, estimada en 537,410 personas con nivel de bachillerato o equivalente, considerando además 164,215 estudiantes inscritos en educación superior en el ciclo 2023–2024; la población objetivo, delimitada a egresados recientes de educación media superior en la zona de influencia, con una meta de 577 estudiantes en 2024–2025 y 632 en 2025–2026 (crecimiento aproximado de 9.5%); y la población </w:t>
      </w:r>
      <w:r w:rsidRPr="00074E91">
        <w:rPr>
          <w:rFonts w:cs="Arial"/>
        </w:rPr>
        <w:lastRenderedPageBreak/>
        <w:t>atendida, registrada mediante sistemas institucionales como el formato 911 y reportes oficiales, lo que permite dar seguimiento a la evolución de la matrícula.</w:t>
      </w:r>
    </w:p>
    <w:p w14:paraId="6C6E0AB0" w14:textId="5605BAAB" w:rsidR="0085675B" w:rsidRPr="00074E91" w:rsidRDefault="0085675B" w:rsidP="0085675B">
      <w:pPr>
        <w:rPr>
          <w:rFonts w:cs="Arial"/>
        </w:rPr>
      </w:pPr>
      <w:r w:rsidRPr="00074E91">
        <w:rPr>
          <w:rFonts w:cs="Arial"/>
        </w:rPr>
        <w:t xml:space="preserve">Sin </w:t>
      </w:r>
      <w:r w:rsidR="00385CF3" w:rsidRPr="00074E91">
        <w:rPr>
          <w:rFonts w:cs="Arial"/>
        </w:rPr>
        <w:t>embargo,</w:t>
      </w:r>
      <w:r w:rsidRPr="00074E91">
        <w:rPr>
          <w:rFonts w:cs="Arial"/>
        </w:rPr>
        <w:t xml:space="preserve"> la Población Potencial (PP) se define de manera amplia y pertinente como 537,410 personas con nivel de bachillerato o equivalente en el estado de Sinaloa, lo que representa el universo de personas con posibilidad real de acceder a la educación superior. En contraste, la nueva definición reduce </w:t>
      </w:r>
      <w:proofErr w:type="spellStart"/>
      <w:r w:rsidRPr="00074E91">
        <w:rPr>
          <w:rFonts w:cs="Arial"/>
        </w:rPr>
        <w:t>la</w:t>
      </w:r>
      <w:proofErr w:type="spellEnd"/>
      <w:r w:rsidRPr="00074E91">
        <w:rPr>
          <w:rFonts w:cs="Arial"/>
        </w:rPr>
        <w:t xml:space="preserve"> PP a 133,430 alumnos que ya se encuentran cursando educación superior, lo cual resulta conceptualmente incorrecto, ya que excluye a quienes aún no acceden a este nivel </w:t>
      </w:r>
      <w:r w:rsidR="00385CF3" w:rsidRPr="00074E91">
        <w:rPr>
          <w:rFonts w:cs="Arial"/>
        </w:rPr>
        <w:t>educativo,</w:t>
      </w:r>
      <w:r w:rsidRPr="00074E91">
        <w:rPr>
          <w:rFonts w:cs="Arial"/>
        </w:rPr>
        <w:t xml:space="preserve"> pero forman parte del un</w:t>
      </w:r>
      <w:r w:rsidR="001231E7" w:rsidRPr="00074E91">
        <w:rPr>
          <w:rFonts w:cs="Arial"/>
        </w:rPr>
        <w:t>iverso susceptible de atención.</w:t>
      </w:r>
    </w:p>
    <w:p w14:paraId="73D471DB" w14:textId="549CE13F" w:rsidR="0085675B" w:rsidRPr="00074E91" w:rsidRDefault="0085675B" w:rsidP="0085675B">
      <w:pPr>
        <w:rPr>
          <w:rFonts w:cs="Arial"/>
        </w:rPr>
      </w:pPr>
      <w:r w:rsidRPr="00074E91">
        <w:rPr>
          <w:rFonts w:cs="Arial"/>
        </w:rPr>
        <w:t>Asimismo, la Población Objetivo (PO) en la estimación original se delimita de forma específica a egresados recientes de educación media superior en la zona de influencia de la UTC, con metas concretas de atención (577 estudiantes en 2024–2025 y 632 en 2025–2026). Sin embargo, en los nuevos datos, la PO se iguala a la PP (133,430 alumnos), lo que elimina cualquier criterio de focalización y contradice la lógica de intervención del programa, al no distinguir entre la población potencial y aquella que efectivamente se busca atender.</w:t>
      </w:r>
    </w:p>
    <w:p w14:paraId="3FD61526" w14:textId="77777777" w:rsidR="0085675B" w:rsidRPr="00074E91" w:rsidRDefault="0085675B" w:rsidP="0085675B">
      <w:pPr>
        <w:pStyle w:val="Prrafodelista"/>
        <w:rPr>
          <w:rFonts w:cs="Arial"/>
        </w:rPr>
      </w:pPr>
    </w:p>
    <w:p w14:paraId="31E998E4" w14:textId="77777777" w:rsidR="005A7860" w:rsidRPr="00074E91" w:rsidRDefault="005A7860" w:rsidP="00190ACD">
      <w:pPr>
        <w:pStyle w:val="Prrafodelista"/>
        <w:numPr>
          <w:ilvl w:val="0"/>
          <w:numId w:val="26"/>
        </w:numPr>
        <w:spacing w:after="0" w:line="360" w:lineRule="auto"/>
        <w:rPr>
          <w:rFonts w:cs="Arial"/>
          <w:b/>
        </w:rPr>
      </w:pPr>
      <w:r w:rsidRPr="00074E91">
        <w:rPr>
          <w:rFonts w:cs="Arial"/>
          <w:b/>
        </w:rPr>
        <w:t>Criterios de elegibilidad</w:t>
      </w:r>
    </w:p>
    <w:p w14:paraId="699B2EF4" w14:textId="77777777" w:rsidR="005A7860" w:rsidRPr="00074E91" w:rsidRDefault="005A7860" w:rsidP="005A7860">
      <w:pPr>
        <w:spacing w:after="0" w:line="240" w:lineRule="auto"/>
        <w:rPr>
          <w:rFonts w:cs="Arial"/>
        </w:rPr>
      </w:pPr>
    </w:p>
    <w:p w14:paraId="01653577" w14:textId="77777777" w:rsidR="005A7860" w:rsidRPr="00074E91" w:rsidRDefault="005A7860" w:rsidP="00190ACD">
      <w:pPr>
        <w:pStyle w:val="Prrafodelista"/>
        <w:numPr>
          <w:ilvl w:val="0"/>
          <w:numId w:val="13"/>
        </w:numPr>
        <w:spacing w:line="360" w:lineRule="auto"/>
        <w:rPr>
          <w:rFonts w:cs="Arial"/>
          <w:b/>
        </w:rPr>
      </w:pPr>
      <w:r w:rsidRPr="00074E91">
        <w:rPr>
          <w:rFonts w:cs="Arial"/>
          <w:b/>
        </w:rPr>
        <w:t>¿El Pp cuenta con criterios de elegibilidad documentados para la selección de su población objetivo y estos cumplen con las siguientes características?</w:t>
      </w:r>
    </w:p>
    <w:p w14:paraId="22C0BC25" w14:textId="77777777" w:rsidR="005A7860" w:rsidRPr="00074E91" w:rsidRDefault="005A7860" w:rsidP="005A7860">
      <w:pPr>
        <w:spacing w:before="240" w:after="120"/>
        <w:rPr>
          <w:rFonts w:cs="Arial"/>
          <w:b/>
          <w:u w:val="single"/>
        </w:rPr>
      </w:pPr>
      <w:r w:rsidRPr="00074E91">
        <w:rPr>
          <w:rFonts w:cs="Arial"/>
          <w:b/>
          <w:u w:val="single"/>
        </w:rPr>
        <w:t>Criterios de valoración:</w:t>
      </w:r>
    </w:p>
    <w:p w14:paraId="56FEADD5" w14:textId="77777777" w:rsidR="005A7860" w:rsidRPr="00074E91" w:rsidRDefault="005A7860" w:rsidP="00190ACD">
      <w:pPr>
        <w:pStyle w:val="Prrafodelista"/>
        <w:numPr>
          <w:ilvl w:val="0"/>
          <w:numId w:val="29"/>
        </w:numPr>
        <w:spacing w:line="360" w:lineRule="auto"/>
        <w:rPr>
          <w:rFonts w:cs="Arial"/>
        </w:rPr>
      </w:pPr>
      <w:r w:rsidRPr="00074E91">
        <w:rPr>
          <w:rFonts w:cs="Arial"/>
        </w:rPr>
        <w:t>Son congruentes con la identificación, definición y delimitación de la población objetivo.</w:t>
      </w:r>
    </w:p>
    <w:p w14:paraId="035FBA48" w14:textId="77777777" w:rsidR="005A7860" w:rsidRPr="00074E91" w:rsidRDefault="005A7860" w:rsidP="00190ACD">
      <w:pPr>
        <w:pStyle w:val="Prrafodelista"/>
        <w:numPr>
          <w:ilvl w:val="0"/>
          <w:numId w:val="29"/>
        </w:numPr>
        <w:spacing w:line="360" w:lineRule="auto"/>
        <w:rPr>
          <w:rFonts w:cs="Arial"/>
        </w:rPr>
      </w:pPr>
      <w:r w:rsidRPr="00074E91">
        <w:rPr>
          <w:rFonts w:cs="Arial"/>
        </w:rPr>
        <w:t>Se encuentran claramente especificados, es decir, no existe ambigüedad en su redacción.</w:t>
      </w:r>
    </w:p>
    <w:p w14:paraId="0A7A1B8D" w14:textId="77777777" w:rsidR="005A7860" w:rsidRPr="00074E91" w:rsidRDefault="005A7860" w:rsidP="00190ACD">
      <w:pPr>
        <w:pStyle w:val="Prrafodelista"/>
        <w:numPr>
          <w:ilvl w:val="0"/>
          <w:numId w:val="29"/>
        </w:numPr>
        <w:spacing w:line="360" w:lineRule="auto"/>
        <w:rPr>
          <w:rFonts w:cs="Arial"/>
        </w:rPr>
      </w:pPr>
      <w:r w:rsidRPr="00074E91">
        <w:rPr>
          <w:rFonts w:cs="Arial"/>
        </w:rPr>
        <w:t>Se encuentran estandarizados y sistematizados.</w:t>
      </w:r>
    </w:p>
    <w:p w14:paraId="097F96F7" w14:textId="77777777" w:rsidR="005A7860" w:rsidRPr="00074E91" w:rsidRDefault="005A7860" w:rsidP="00190ACD">
      <w:pPr>
        <w:pStyle w:val="Prrafodelista"/>
        <w:numPr>
          <w:ilvl w:val="0"/>
          <w:numId w:val="29"/>
        </w:numPr>
        <w:spacing w:line="360" w:lineRule="auto"/>
        <w:rPr>
          <w:rFonts w:cs="Arial"/>
        </w:rPr>
      </w:pPr>
      <w:r w:rsidRPr="00074E91">
        <w:rPr>
          <w:rFonts w:cs="Arial"/>
        </w:rPr>
        <w:t>Son públicos y accesibles a la población objetivo en un lenguaje claro, sencillo y conciso.</w:t>
      </w:r>
    </w:p>
    <w:p w14:paraId="7ECF31AE" w14:textId="77777777" w:rsidR="005A7860" w:rsidRPr="00074E91" w:rsidRDefault="005A7860" w:rsidP="005A7860">
      <w:pPr>
        <w:spacing w:before="240" w:after="120"/>
        <w:rPr>
          <w:rFonts w:cs="Arial"/>
          <w:b/>
          <w:u w:val="single"/>
        </w:rPr>
      </w:pPr>
      <w:r w:rsidRPr="00074E91">
        <w:rPr>
          <w:rFonts w:cs="Arial"/>
          <w:b/>
          <w:u w:val="single"/>
        </w:rPr>
        <w:t>Respuesta:</w:t>
      </w:r>
    </w:p>
    <w:tbl>
      <w:tblPr>
        <w:tblpPr w:leftFromText="141" w:rightFromText="141" w:vertAnchor="text" w:tblpXSpec="right" w:tblpY="1"/>
        <w:tblOverlap w:val="never"/>
        <w:tblW w:w="4549"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713"/>
        <w:gridCol w:w="7524"/>
      </w:tblGrid>
      <w:tr w:rsidR="005A7860" w:rsidRPr="00074E91" w14:paraId="6D79D40C" w14:textId="77777777" w:rsidTr="00AD6262">
        <w:trPr>
          <w:trHeight w:val="340"/>
          <w:tblHeader/>
        </w:trPr>
        <w:tc>
          <w:tcPr>
            <w:tcW w:w="433" w:type="pct"/>
            <w:vMerge w:val="restart"/>
            <w:shd w:val="clear" w:color="auto" w:fill="7F7F7F" w:themeFill="text1" w:themeFillTint="80"/>
            <w:vAlign w:val="center"/>
          </w:tcPr>
          <w:p w14:paraId="6DB1EA00" w14:textId="77777777" w:rsidR="005A7860" w:rsidRPr="00074E91" w:rsidRDefault="005A7860" w:rsidP="00AD626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074E91">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5D6B03B3" w14:textId="77777777" w:rsidR="005A7860" w:rsidRPr="00074E91" w:rsidRDefault="005A7860" w:rsidP="00AD626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074E91">
              <w:rPr>
                <w:rFonts w:eastAsia="Times" w:cs="Arial"/>
                <w:b/>
                <w:iCs/>
                <w:color w:val="FFFFFF" w:themeColor="background1"/>
                <w:szCs w:val="20"/>
                <w:lang w:eastAsia="es-MX"/>
              </w:rPr>
              <w:t>Criterios</w:t>
            </w:r>
          </w:p>
        </w:tc>
      </w:tr>
      <w:tr w:rsidR="005A7860" w:rsidRPr="00074E91" w14:paraId="3AF6EA8D" w14:textId="77777777" w:rsidTr="00AD6262">
        <w:tc>
          <w:tcPr>
            <w:tcW w:w="433" w:type="pct"/>
            <w:vMerge/>
            <w:vAlign w:val="center"/>
          </w:tcPr>
          <w:p w14:paraId="75C8D162" w14:textId="77777777" w:rsidR="005A7860" w:rsidRPr="00074E91" w:rsidRDefault="005A7860" w:rsidP="00AD6262">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341594B6" w14:textId="77777777" w:rsidR="005A7860" w:rsidRPr="00074E91" w:rsidRDefault="005A7860" w:rsidP="00AD6262">
            <w:pPr>
              <w:spacing w:after="0" w:line="240" w:lineRule="atLeast"/>
              <w:jc w:val="left"/>
              <w:rPr>
                <w:rFonts w:eastAsia="Calibri" w:cs="Arial"/>
                <w:szCs w:val="20"/>
                <w:lang w:eastAsia="es-MX"/>
              </w:rPr>
            </w:pPr>
            <w:r w:rsidRPr="00074E91">
              <w:rPr>
                <w:rFonts w:eastAsia="Calibri" w:cs="Arial"/>
                <w:szCs w:val="20"/>
                <w:lang w:eastAsia="es-MX"/>
              </w:rPr>
              <w:t>Los criterios de elegibilidad cuentan con:</w:t>
            </w:r>
          </w:p>
        </w:tc>
      </w:tr>
      <w:tr w:rsidR="005A7860" w:rsidRPr="00074E91" w14:paraId="6041A93A" w14:textId="77777777" w:rsidTr="00AD6262">
        <w:tc>
          <w:tcPr>
            <w:tcW w:w="433" w:type="pct"/>
            <w:vAlign w:val="center"/>
          </w:tcPr>
          <w:p w14:paraId="2D90F44C" w14:textId="6A710748" w:rsidR="005A7860" w:rsidRPr="00074E91" w:rsidRDefault="004321CF" w:rsidP="00AD6262">
            <w:pPr>
              <w:overflowPunct w:val="0"/>
              <w:autoSpaceDE w:val="0"/>
              <w:autoSpaceDN w:val="0"/>
              <w:adjustRightInd w:val="0"/>
              <w:spacing w:line="240" w:lineRule="atLeast"/>
              <w:contextualSpacing/>
              <w:jc w:val="center"/>
              <w:textAlignment w:val="baseline"/>
              <w:rPr>
                <w:rFonts w:eastAsia="Calibri" w:cs="Arial"/>
                <w:szCs w:val="20"/>
                <w:lang w:eastAsia="es-MX"/>
              </w:rPr>
            </w:pPr>
            <w:r w:rsidRPr="00074E91">
              <w:rPr>
                <w:rFonts w:eastAsia="Calibri" w:cs="Arial"/>
                <w:szCs w:val="20"/>
                <w:lang w:eastAsia="es-MX"/>
              </w:rPr>
              <w:t>1</w:t>
            </w:r>
          </w:p>
        </w:tc>
        <w:tc>
          <w:tcPr>
            <w:tcW w:w="4567" w:type="pct"/>
            <w:vAlign w:val="center"/>
          </w:tcPr>
          <w:p w14:paraId="2CF8CF9E" w14:textId="79984A89" w:rsidR="005A7860" w:rsidRPr="00074E91" w:rsidRDefault="004321CF" w:rsidP="00AD6262">
            <w:pPr>
              <w:numPr>
                <w:ilvl w:val="0"/>
                <w:numId w:val="1"/>
              </w:numPr>
              <w:spacing w:after="0" w:line="240" w:lineRule="atLeast"/>
              <w:jc w:val="left"/>
              <w:rPr>
                <w:rFonts w:eastAsia="Calibri" w:cs="Arial"/>
                <w:szCs w:val="20"/>
                <w:lang w:eastAsia="es-MX"/>
              </w:rPr>
            </w:pPr>
            <w:r w:rsidRPr="00074E91">
              <w:rPr>
                <w:rFonts w:eastAsia="Calibri" w:cs="Arial"/>
                <w:szCs w:val="20"/>
                <w:lang w:eastAsia="es-MX"/>
              </w:rPr>
              <w:t>Uno</w:t>
            </w:r>
            <w:r w:rsidR="00BD39D6" w:rsidRPr="00074E91">
              <w:rPr>
                <w:rFonts w:eastAsia="Calibri" w:cs="Arial"/>
                <w:szCs w:val="20"/>
                <w:lang w:eastAsia="es-MX"/>
              </w:rPr>
              <w:t xml:space="preserve">  </w:t>
            </w:r>
            <w:r w:rsidR="00DA7233" w:rsidRPr="00074E91">
              <w:rPr>
                <w:rFonts w:eastAsia="Calibri" w:cs="Arial"/>
                <w:szCs w:val="20"/>
                <w:lang w:eastAsia="es-MX"/>
              </w:rPr>
              <w:t xml:space="preserve"> de los criterios de valoración. </w:t>
            </w:r>
          </w:p>
        </w:tc>
      </w:tr>
    </w:tbl>
    <w:p w14:paraId="145D4720" w14:textId="77777777" w:rsidR="000978CE" w:rsidRDefault="00AD6262" w:rsidP="000978CE">
      <w:pPr>
        <w:spacing w:after="0" w:line="240" w:lineRule="auto"/>
        <w:rPr>
          <w:rFonts w:cs="Arial"/>
          <w:b/>
          <w:u w:val="single"/>
        </w:rPr>
      </w:pPr>
      <w:r w:rsidRPr="00074E91">
        <w:rPr>
          <w:rFonts w:cs="Arial"/>
          <w:b/>
          <w:u w:val="single"/>
        </w:rPr>
        <w:br w:type="textWrapping" w:clear="all"/>
      </w:r>
    </w:p>
    <w:p w14:paraId="7066C48C" w14:textId="1D79F830" w:rsidR="004321CF" w:rsidRPr="00074E91" w:rsidRDefault="00687562" w:rsidP="003B4EED">
      <w:r w:rsidRPr="003B4EED">
        <w:rPr>
          <w:b/>
          <w:bCs/>
          <w:u w:val="single"/>
        </w:rPr>
        <w:t>Justificación</w:t>
      </w:r>
      <w:r w:rsidRPr="00074E91">
        <w:t>:</w:t>
      </w:r>
      <w:r w:rsidR="003B4EED">
        <w:t xml:space="preserve"> </w:t>
      </w:r>
      <w:r w:rsidR="004321CF" w:rsidRPr="00074E91">
        <w:t xml:space="preserve">La UR comenta que la estrategia de cobertura del Pp E053 "Servicios de Educación Superior y Posgrado de Calidad" se encuentra formalmente documentada y alineada a la planeación vigente (PIDE 2022-2027, MIR y POA 2024). El diseño permite proyectar metas factibles con un crecimiento anual del 5%, estimando atender a 668 estudiantes para el ciclo 2027-2028. La propuesta destaca por una sólida cuantificación de las poblaciones (Potencial, Objetivo y </w:t>
      </w:r>
      <w:r w:rsidR="004321CF" w:rsidRPr="00074E91">
        <w:lastRenderedPageBreak/>
        <w:t>Atendida) mediante fuentes oficiales (INEGI, SEP) y diagnósticos de la UTC, asegurando coherencia con los indicadore</w:t>
      </w:r>
      <w:r w:rsidR="001231E7" w:rsidRPr="00074E91">
        <w:t>s de Fin y Propósito de la MML.</w:t>
      </w:r>
    </w:p>
    <w:p w14:paraId="17D8015E" w14:textId="6D094B35" w:rsidR="005704F0" w:rsidRPr="00074E91" w:rsidRDefault="004321CF" w:rsidP="003B4EED">
      <w:r w:rsidRPr="00074E91">
        <w:t xml:space="preserve">Sin embargo, la instancia evaluadora identifica que el cumplimiento es parcial, debido a la falta de una vinculación explícita con el presupuesto multianual y la ausencia de un análisis de riesgos presupuestales para el periodo 2023-2027 </w:t>
      </w:r>
      <w:r w:rsidR="00385CF3" w:rsidRPr="00074E91">
        <w:t>así</w:t>
      </w:r>
      <w:r w:rsidRPr="00074E91">
        <w:t xml:space="preserve"> como la alineación al Pp publicado en el tomo IV de la LIPPES por lo que no corresponde a la población correcta. En conclusión, aunque la estrategia es técnicamente consistente y operativa, la carencia de concordancia con lo publicado impide ratificarla como una alternativa de intervención plenamente integral.</w:t>
      </w:r>
    </w:p>
    <w:p w14:paraId="5E1EBE14" w14:textId="77777777" w:rsidR="00A870CE" w:rsidRPr="00074E91" w:rsidRDefault="00A870CE" w:rsidP="00190ACD">
      <w:pPr>
        <w:pStyle w:val="Prrafodelista"/>
        <w:numPr>
          <w:ilvl w:val="0"/>
          <w:numId w:val="13"/>
        </w:numPr>
        <w:spacing w:line="360" w:lineRule="auto"/>
        <w:rPr>
          <w:rFonts w:cs="Arial"/>
          <w:b/>
        </w:rPr>
      </w:pPr>
      <w:r w:rsidRPr="00074E91">
        <w:rPr>
          <w:rFonts w:cs="Arial"/>
          <w:b/>
        </w:rPr>
        <w:t xml:space="preserve">¿El Pp establece criterios de elegibilidad diferenciados o criterios de priorización para la selección de grupos poblacionales, territoriales del </w:t>
      </w:r>
      <w:r w:rsidR="0017718B" w:rsidRPr="00074E91">
        <w:rPr>
          <w:rFonts w:cs="Arial"/>
          <w:b/>
        </w:rPr>
        <w:t>estado</w:t>
      </w:r>
      <w:r w:rsidRPr="00074E91">
        <w:rPr>
          <w:rFonts w:cs="Arial"/>
          <w:b/>
        </w:rPr>
        <w:t xml:space="preserve"> o, en su caso, acciones para la conservación del medio ambiente?</w:t>
      </w:r>
    </w:p>
    <w:p w14:paraId="5C6EE1F3" w14:textId="77777777" w:rsidR="00A870CE" w:rsidRPr="00074E91" w:rsidRDefault="00A870CE" w:rsidP="00A870CE">
      <w:pPr>
        <w:spacing w:before="240" w:after="120"/>
        <w:rPr>
          <w:rFonts w:cs="Arial"/>
          <w:b/>
          <w:u w:val="single"/>
        </w:rPr>
      </w:pPr>
      <w:r w:rsidRPr="00074E91">
        <w:rPr>
          <w:rFonts w:cs="Arial"/>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713"/>
        <w:gridCol w:w="7524"/>
      </w:tblGrid>
      <w:tr w:rsidR="00A870CE" w:rsidRPr="00074E91" w14:paraId="673996D5" w14:textId="77777777" w:rsidTr="00687562">
        <w:trPr>
          <w:trHeight w:val="340"/>
          <w:tblHeader/>
          <w:jc w:val="right"/>
        </w:trPr>
        <w:tc>
          <w:tcPr>
            <w:tcW w:w="433" w:type="pct"/>
            <w:shd w:val="clear" w:color="auto" w:fill="7F7F7F" w:themeFill="text1" w:themeFillTint="80"/>
            <w:vAlign w:val="center"/>
          </w:tcPr>
          <w:p w14:paraId="24DF1B91" w14:textId="77777777" w:rsidR="00A870CE" w:rsidRPr="00074E91" w:rsidRDefault="00A870CE"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074E91">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1E315FEC" w14:textId="77777777" w:rsidR="00A870CE" w:rsidRPr="00074E91" w:rsidRDefault="00A870CE"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074E91">
              <w:rPr>
                <w:rFonts w:eastAsia="Times" w:cs="Arial"/>
                <w:b/>
                <w:iCs/>
                <w:color w:val="FFFFFF" w:themeColor="background1"/>
                <w:szCs w:val="20"/>
                <w:lang w:eastAsia="es-MX"/>
              </w:rPr>
              <w:t>Respuesta</w:t>
            </w:r>
          </w:p>
        </w:tc>
      </w:tr>
      <w:tr w:rsidR="00A870CE" w:rsidRPr="00074E91" w14:paraId="7A0847C0" w14:textId="77777777" w:rsidTr="00687562">
        <w:trPr>
          <w:jc w:val="right"/>
        </w:trPr>
        <w:tc>
          <w:tcPr>
            <w:tcW w:w="433" w:type="pct"/>
            <w:vAlign w:val="center"/>
          </w:tcPr>
          <w:p w14:paraId="275C48C4" w14:textId="7C8F2710" w:rsidR="00A870CE" w:rsidRPr="00074E91" w:rsidRDefault="005E1FE8"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sidRPr="00074E91">
              <w:rPr>
                <w:rFonts w:eastAsia="Calibri" w:cs="Arial"/>
                <w:szCs w:val="20"/>
                <w:lang w:eastAsia="es-MX"/>
              </w:rPr>
              <w:t>0</w:t>
            </w:r>
          </w:p>
        </w:tc>
        <w:tc>
          <w:tcPr>
            <w:tcW w:w="4567" w:type="pct"/>
            <w:vAlign w:val="center"/>
          </w:tcPr>
          <w:p w14:paraId="1A604373" w14:textId="61138717" w:rsidR="00A870CE" w:rsidRPr="00074E91" w:rsidRDefault="00EC3924" w:rsidP="00EC3924">
            <w:pPr>
              <w:numPr>
                <w:ilvl w:val="0"/>
                <w:numId w:val="1"/>
              </w:numPr>
              <w:spacing w:after="0" w:line="240" w:lineRule="atLeast"/>
              <w:rPr>
                <w:rFonts w:eastAsia="Calibri" w:cs="Arial"/>
                <w:szCs w:val="20"/>
                <w:lang w:eastAsia="es-MX"/>
              </w:rPr>
            </w:pPr>
            <w:r w:rsidRPr="00074E91">
              <w:rPr>
                <w:rFonts w:eastAsia="Calibri" w:cs="Arial"/>
                <w:szCs w:val="20"/>
                <w:lang w:eastAsia="es-MX"/>
              </w:rPr>
              <w:t xml:space="preserve">El Pp sí considera criterios diferenciados o prioritarios para la selección de grupos poblacionales, territorios del estado o, en su caso, acciones para la conservación del medio ambiente. </w:t>
            </w:r>
          </w:p>
        </w:tc>
      </w:tr>
    </w:tbl>
    <w:p w14:paraId="0FE8DA92" w14:textId="207353C8" w:rsidR="0088118B" w:rsidRPr="00074E91" w:rsidRDefault="00687562" w:rsidP="003B4EED">
      <w:pPr>
        <w:spacing w:before="240" w:after="120"/>
        <w:rPr>
          <w:rFonts w:cs="Arial"/>
          <w:lang w:val="es-ES"/>
        </w:rPr>
      </w:pPr>
      <w:r w:rsidRPr="00074E91">
        <w:rPr>
          <w:rFonts w:cs="Arial"/>
          <w:b/>
          <w:u w:val="single"/>
        </w:rPr>
        <w:t>Justificación:</w:t>
      </w:r>
      <w:r w:rsidR="003B4EED" w:rsidRPr="003B4EED">
        <w:rPr>
          <w:rFonts w:cs="Arial"/>
          <w:bCs/>
        </w:rPr>
        <w:t xml:space="preserve"> </w:t>
      </w:r>
      <w:r w:rsidR="005704F0" w:rsidRPr="00074E91">
        <w:rPr>
          <w:rFonts w:cs="Arial"/>
          <w:lang w:val="es-ES"/>
        </w:rPr>
        <w:t xml:space="preserve">La UR externa que el </w:t>
      </w:r>
      <w:r w:rsidR="0088118B" w:rsidRPr="00074E91">
        <w:rPr>
          <w:rFonts w:cs="Arial"/>
          <w:lang w:val="es-ES"/>
        </w:rPr>
        <w:t>Pp presenta un diseño que incorpora criterios de priorización poblacional, diferenciación territorial y, en cierta medida, enfoque ambiental, sustentados en un marco normativo e institucional vigente.</w:t>
      </w:r>
    </w:p>
    <w:p w14:paraId="27D4ABF3" w14:textId="0BC8162E" w:rsidR="0088118B" w:rsidRPr="00074E91" w:rsidRDefault="0088118B" w:rsidP="0088118B">
      <w:pPr>
        <w:rPr>
          <w:rFonts w:cs="Arial"/>
          <w:lang w:val="es-ES"/>
        </w:rPr>
      </w:pPr>
      <w:r w:rsidRPr="00074E91">
        <w:rPr>
          <w:rFonts w:cs="Arial"/>
          <w:lang w:val="es-ES"/>
        </w:rPr>
        <w:t>En el ámbito poblacional, se establece explícitamente la atención preferente a grupos en situación de vulnerabilidad, integrando esta prioridad en actividades académicas y de extensión mediante mecanismos de difusión focalizada, acompañamiento y canalización de apoyos. Paralelamente, se garantiza la igualdad de oportunidades en el acceso, evitando cualquier tipo de discriminación en los procesos de admisión, lo que permite combinar la inclusión con acciones afirmativas orientadas a la permanencia y el desarrollo de los estudiantes.</w:t>
      </w:r>
    </w:p>
    <w:p w14:paraId="29484792" w14:textId="3B4D6A4B" w:rsidR="0088118B" w:rsidRPr="00074E91" w:rsidRDefault="0088118B" w:rsidP="0088118B">
      <w:pPr>
        <w:rPr>
          <w:rFonts w:cs="Arial"/>
          <w:lang w:val="es-ES"/>
        </w:rPr>
      </w:pPr>
      <w:r w:rsidRPr="00074E91">
        <w:rPr>
          <w:rFonts w:cs="Arial"/>
          <w:lang w:val="es-ES"/>
        </w:rPr>
        <w:t>En el plano territorial, el programa contempla estrategias de segmentación geográfica para la difusión y captación de aspirantes, lo que facilita una atención diferenciada de la demanda en distintas zonas, en congruencia con la normativa institucional.</w:t>
      </w:r>
    </w:p>
    <w:p w14:paraId="61D20803" w14:textId="23F38A54" w:rsidR="00874DDE" w:rsidRPr="00074E91" w:rsidRDefault="0088118B" w:rsidP="0088118B">
      <w:pPr>
        <w:rPr>
          <w:rFonts w:cs="Arial"/>
          <w:lang w:val="es-ES"/>
        </w:rPr>
      </w:pPr>
      <w:r w:rsidRPr="00074E91">
        <w:rPr>
          <w:rFonts w:cs="Arial"/>
          <w:lang w:val="es-ES"/>
        </w:rPr>
        <w:t>Finalmente, aunque los criterios de elegibilidad académica son estandarizados, la oferta educativa incorpora programas con enfoque ambiental, cuyas actividades prácticas contribuyen a la sostenibilidad y fortalecen la pertinencia y empleabilidad de los egresados.</w:t>
      </w:r>
    </w:p>
    <w:p w14:paraId="510E6C24" w14:textId="2592763D" w:rsidR="0088118B" w:rsidRPr="00074E91" w:rsidRDefault="005E1FE8" w:rsidP="0088118B">
      <w:pPr>
        <w:rPr>
          <w:rFonts w:cs="Arial"/>
        </w:rPr>
      </w:pPr>
      <w:r w:rsidRPr="00074E91">
        <w:rPr>
          <w:rFonts w:cs="Arial"/>
          <w:lang w:val="es-ES"/>
        </w:rPr>
        <w:lastRenderedPageBreak/>
        <w:t xml:space="preserve">No </w:t>
      </w:r>
      <w:r w:rsidR="00385CF3" w:rsidRPr="00074E91">
        <w:rPr>
          <w:rFonts w:cs="Arial"/>
          <w:lang w:val="es-ES"/>
        </w:rPr>
        <w:t>obstante,</w:t>
      </w:r>
      <w:r w:rsidRPr="00074E91">
        <w:rPr>
          <w:rFonts w:cs="Arial"/>
          <w:lang w:val="es-ES"/>
        </w:rPr>
        <w:t xml:space="preserve"> todo lo expuesto con anterioridad, no es posible asegurar que se cumple con los criterios de elegibilidad establecidos, ya que la información presentada no concuerda con la población identificada en el E053 “Servicios de Educación Superior y Posgrado de Calidad” publicado en el Tomo IV de la LIPEES, lo que impide acreditar la existencia de criterios de elegibilidad debidamente documentados para la selección de su población objetivo. En consecuencia, no es posible verificar que dichos criterios sean congruentes con la identificación, definición y delimitación de la población objetivo; que estén claramente especificados sin ambigüedades; que se encuentren estandarizados y sistematizados; ni que sean públicos y accesibles en un lenguaje claro, sencillo y comprensible para la población objetivo.</w:t>
      </w:r>
    </w:p>
    <w:p w14:paraId="518A3F91" w14:textId="77777777" w:rsidR="00A870CE" w:rsidRPr="00074E91" w:rsidRDefault="00A870CE" w:rsidP="00190ACD">
      <w:pPr>
        <w:pStyle w:val="Prrafodelista"/>
        <w:numPr>
          <w:ilvl w:val="0"/>
          <w:numId w:val="26"/>
        </w:numPr>
        <w:spacing w:after="0" w:line="360" w:lineRule="auto"/>
        <w:rPr>
          <w:rFonts w:cs="Arial"/>
          <w:b/>
        </w:rPr>
      </w:pPr>
      <w:r w:rsidRPr="00074E91">
        <w:rPr>
          <w:rFonts w:cs="Arial"/>
          <w:b/>
        </w:rPr>
        <w:t xml:space="preserve">Mecanismos de solicitud y entrega de bienes y/o servicios </w:t>
      </w:r>
    </w:p>
    <w:p w14:paraId="3FB58DC5" w14:textId="77777777" w:rsidR="00A870CE" w:rsidRPr="00074E91" w:rsidRDefault="00A870CE" w:rsidP="00A870CE">
      <w:pPr>
        <w:spacing w:after="0" w:line="240" w:lineRule="auto"/>
        <w:rPr>
          <w:rFonts w:cs="Arial"/>
        </w:rPr>
      </w:pPr>
    </w:p>
    <w:p w14:paraId="330C8E37" w14:textId="77777777" w:rsidR="00A870CE" w:rsidRPr="00074E91" w:rsidRDefault="00A870CE" w:rsidP="00190ACD">
      <w:pPr>
        <w:pStyle w:val="Prrafodelista"/>
        <w:numPr>
          <w:ilvl w:val="0"/>
          <w:numId w:val="13"/>
        </w:numPr>
        <w:spacing w:line="360" w:lineRule="auto"/>
        <w:rPr>
          <w:rFonts w:cs="Arial"/>
          <w:b/>
        </w:rPr>
      </w:pPr>
      <w:r w:rsidRPr="00074E91">
        <w:rPr>
          <w:rFonts w:cs="Arial"/>
          <w:b/>
        </w:rPr>
        <w:t>¿El Pp cuenta con procedimientos para recibir, registrar y dar trámite a las solicitudes de los bienes y/o servicios que genera, están documentados y cumplen con las siguientes características?</w:t>
      </w:r>
    </w:p>
    <w:p w14:paraId="03B8B10C" w14:textId="77777777" w:rsidR="00A870CE" w:rsidRPr="00074E91" w:rsidRDefault="00A870CE" w:rsidP="00A870CE">
      <w:pPr>
        <w:spacing w:before="240" w:after="120"/>
        <w:rPr>
          <w:rFonts w:cs="Arial"/>
          <w:b/>
          <w:u w:val="single"/>
        </w:rPr>
      </w:pPr>
      <w:r w:rsidRPr="00074E91">
        <w:rPr>
          <w:rFonts w:cs="Arial"/>
          <w:b/>
          <w:u w:val="single"/>
        </w:rPr>
        <w:t>Criterios de valoración:</w:t>
      </w:r>
    </w:p>
    <w:p w14:paraId="5F6CBD66" w14:textId="77777777" w:rsidR="00A870CE" w:rsidRPr="00074E91" w:rsidRDefault="00A870CE" w:rsidP="00190ACD">
      <w:pPr>
        <w:pStyle w:val="Prrafodelista"/>
        <w:numPr>
          <w:ilvl w:val="0"/>
          <w:numId w:val="32"/>
        </w:numPr>
        <w:spacing w:line="360" w:lineRule="auto"/>
        <w:rPr>
          <w:rFonts w:cs="Arial"/>
        </w:rPr>
      </w:pPr>
      <w:r w:rsidRPr="00074E91">
        <w:rPr>
          <w:rFonts w:cs="Arial"/>
        </w:rPr>
        <w:t xml:space="preserve">Consideran y se adaptan a las características de la población objetivo. </w:t>
      </w:r>
    </w:p>
    <w:p w14:paraId="69AADA0E" w14:textId="77777777" w:rsidR="00A870CE" w:rsidRPr="00074E91" w:rsidRDefault="00A870CE" w:rsidP="00190ACD">
      <w:pPr>
        <w:pStyle w:val="Prrafodelista"/>
        <w:numPr>
          <w:ilvl w:val="0"/>
          <w:numId w:val="32"/>
        </w:numPr>
        <w:spacing w:line="360" w:lineRule="auto"/>
        <w:rPr>
          <w:rFonts w:cs="Arial"/>
        </w:rPr>
      </w:pPr>
      <w:r w:rsidRPr="00074E91">
        <w:rPr>
          <w:rFonts w:cs="Arial"/>
        </w:rPr>
        <w:t>Identifican y definen plazos para cada procedimiento, así como datos de contacto para atención.</w:t>
      </w:r>
    </w:p>
    <w:p w14:paraId="5A7C296B" w14:textId="77777777" w:rsidR="00A870CE" w:rsidRPr="00074E91" w:rsidRDefault="00A870CE" w:rsidP="00190ACD">
      <w:pPr>
        <w:pStyle w:val="Prrafodelista"/>
        <w:numPr>
          <w:ilvl w:val="0"/>
          <w:numId w:val="32"/>
        </w:numPr>
        <w:spacing w:line="360" w:lineRule="auto"/>
        <w:rPr>
          <w:rFonts w:cs="Arial"/>
        </w:rPr>
      </w:pPr>
      <w:r w:rsidRPr="00074E91">
        <w:rPr>
          <w:rFonts w:cs="Arial"/>
        </w:rPr>
        <w:t>Presentan y describen los requisitos y formatos necesarios para cada procedimiento.</w:t>
      </w:r>
    </w:p>
    <w:p w14:paraId="684DE202" w14:textId="77777777" w:rsidR="00A870CE" w:rsidRPr="00074E91" w:rsidRDefault="00A870CE" w:rsidP="00190ACD">
      <w:pPr>
        <w:pStyle w:val="Prrafodelista"/>
        <w:numPr>
          <w:ilvl w:val="0"/>
          <w:numId w:val="32"/>
        </w:numPr>
        <w:spacing w:line="360" w:lineRule="auto"/>
        <w:rPr>
          <w:rFonts w:cs="Arial"/>
        </w:rPr>
      </w:pPr>
      <w:r w:rsidRPr="00074E91">
        <w:rPr>
          <w:rFonts w:cs="Arial"/>
        </w:rPr>
        <w:t>Son públicos y accesibles a la población objetivo en un lenguaje claro, sencillo y conciso.</w:t>
      </w:r>
    </w:p>
    <w:p w14:paraId="0EE45566" w14:textId="77777777" w:rsidR="00A870CE" w:rsidRPr="00074E91" w:rsidRDefault="00A870CE" w:rsidP="00A870CE">
      <w:pPr>
        <w:spacing w:before="240" w:after="120"/>
        <w:rPr>
          <w:rFonts w:cs="Arial"/>
          <w:b/>
          <w:u w:val="single"/>
        </w:rPr>
      </w:pPr>
      <w:r w:rsidRPr="00074E91">
        <w:rPr>
          <w:rFonts w:cs="Arial"/>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713"/>
        <w:gridCol w:w="7524"/>
      </w:tblGrid>
      <w:tr w:rsidR="00A870CE" w:rsidRPr="00074E91" w14:paraId="0B75DECE" w14:textId="77777777" w:rsidTr="00687562">
        <w:trPr>
          <w:trHeight w:val="340"/>
          <w:tblHeader/>
          <w:jc w:val="right"/>
        </w:trPr>
        <w:tc>
          <w:tcPr>
            <w:tcW w:w="433" w:type="pct"/>
            <w:vMerge w:val="restart"/>
            <w:shd w:val="clear" w:color="auto" w:fill="7F7F7F" w:themeFill="text1" w:themeFillTint="80"/>
            <w:vAlign w:val="center"/>
          </w:tcPr>
          <w:p w14:paraId="68ACE865" w14:textId="77777777" w:rsidR="00A870CE" w:rsidRPr="00074E91" w:rsidRDefault="00A870CE"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074E91">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4C5C4953" w14:textId="77777777" w:rsidR="00A870CE" w:rsidRPr="00074E91" w:rsidRDefault="00A870CE"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074E91">
              <w:rPr>
                <w:rFonts w:eastAsia="Times" w:cs="Arial"/>
                <w:b/>
                <w:iCs/>
                <w:color w:val="FFFFFF" w:themeColor="background1"/>
                <w:szCs w:val="20"/>
                <w:lang w:eastAsia="es-MX"/>
              </w:rPr>
              <w:t>Criterios</w:t>
            </w:r>
          </w:p>
        </w:tc>
      </w:tr>
      <w:tr w:rsidR="00A870CE" w:rsidRPr="00074E91" w14:paraId="5470D158" w14:textId="77777777" w:rsidTr="00687562">
        <w:trPr>
          <w:jc w:val="right"/>
        </w:trPr>
        <w:tc>
          <w:tcPr>
            <w:tcW w:w="433" w:type="pct"/>
            <w:vMerge/>
            <w:vAlign w:val="center"/>
          </w:tcPr>
          <w:p w14:paraId="43F13CA8" w14:textId="77777777" w:rsidR="00A870CE" w:rsidRPr="00074E91" w:rsidRDefault="00A870CE"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18B0DF3C" w14:textId="77777777" w:rsidR="00A870CE" w:rsidRPr="00074E91" w:rsidRDefault="00A870CE" w:rsidP="00FC66EE">
            <w:pPr>
              <w:spacing w:after="0" w:line="240" w:lineRule="atLeast"/>
              <w:jc w:val="left"/>
              <w:rPr>
                <w:rFonts w:eastAsia="Calibri" w:cs="Arial"/>
                <w:szCs w:val="20"/>
                <w:lang w:eastAsia="es-MX"/>
              </w:rPr>
            </w:pPr>
            <w:r w:rsidRPr="00074E91">
              <w:rPr>
                <w:rFonts w:eastAsia="Calibri" w:cs="Arial"/>
                <w:szCs w:val="20"/>
                <w:lang w:eastAsia="es-MX"/>
              </w:rPr>
              <w:t>Los procedimientos cuentan con:</w:t>
            </w:r>
          </w:p>
        </w:tc>
      </w:tr>
      <w:tr w:rsidR="00A870CE" w:rsidRPr="00074E91" w14:paraId="6692FFA3" w14:textId="77777777" w:rsidTr="00087D01">
        <w:trPr>
          <w:jc w:val="right"/>
        </w:trPr>
        <w:tc>
          <w:tcPr>
            <w:tcW w:w="433" w:type="pct"/>
            <w:vAlign w:val="center"/>
          </w:tcPr>
          <w:p w14:paraId="071C00ED" w14:textId="5EAC845A" w:rsidR="00A870CE" w:rsidRPr="00074E91" w:rsidRDefault="005E1FE8"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sidRPr="00074E91">
              <w:rPr>
                <w:rFonts w:eastAsia="Calibri" w:cs="Arial"/>
                <w:szCs w:val="20"/>
                <w:lang w:eastAsia="es-MX"/>
              </w:rPr>
              <w:t>0</w:t>
            </w:r>
          </w:p>
        </w:tc>
        <w:tc>
          <w:tcPr>
            <w:tcW w:w="4567" w:type="pct"/>
            <w:vAlign w:val="center"/>
          </w:tcPr>
          <w:p w14:paraId="585C4369" w14:textId="231831BA" w:rsidR="00A870CE" w:rsidRPr="00074E91" w:rsidRDefault="005E1FE8" w:rsidP="00087D01">
            <w:pPr>
              <w:numPr>
                <w:ilvl w:val="0"/>
                <w:numId w:val="1"/>
              </w:numPr>
              <w:spacing w:after="0" w:line="240" w:lineRule="atLeast"/>
              <w:jc w:val="left"/>
              <w:rPr>
                <w:rFonts w:eastAsia="Calibri" w:cs="Arial"/>
                <w:szCs w:val="20"/>
                <w:lang w:eastAsia="es-MX"/>
              </w:rPr>
            </w:pPr>
            <w:r w:rsidRPr="00074E91">
              <w:rPr>
                <w:rFonts w:eastAsia="Calibri" w:cs="Arial"/>
                <w:szCs w:val="20"/>
                <w:lang w:eastAsia="es-MX"/>
              </w:rPr>
              <w:t>Ninguno</w:t>
            </w:r>
            <w:r w:rsidR="00087D01" w:rsidRPr="00074E91">
              <w:rPr>
                <w:rFonts w:eastAsia="Calibri" w:cs="Arial"/>
                <w:szCs w:val="20"/>
                <w:lang w:eastAsia="es-MX"/>
              </w:rPr>
              <w:t xml:space="preserve"> de los criterios de valoración. </w:t>
            </w:r>
          </w:p>
        </w:tc>
      </w:tr>
    </w:tbl>
    <w:p w14:paraId="4635345B" w14:textId="5EA7E616" w:rsidR="007112FC" w:rsidRPr="00074E91" w:rsidRDefault="00687562" w:rsidP="003B4EED">
      <w:pPr>
        <w:spacing w:before="240" w:after="120"/>
        <w:rPr>
          <w:rFonts w:cs="Arial"/>
        </w:rPr>
      </w:pPr>
      <w:r w:rsidRPr="00074E91">
        <w:rPr>
          <w:rFonts w:cs="Arial"/>
          <w:b/>
          <w:u w:val="single"/>
        </w:rPr>
        <w:t>Justificación:</w:t>
      </w:r>
      <w:r w:rsidR="003B4EED" w:rsidRPr="003B4EED">
        <w:rPr>
          <w:rFonts w:cs="Arial"/>
          <w:bCs/>
        </w:rPr>
        <w:t xml:space="preserve"> </w:t>
      </w:r>
      <w:r w:rsidR="007112FC" w:rsidRPr="00074E91">
        <w:rPr>
          <w:rFonts w:cs="Arial"/>
        </w:rPr>
        <w:t xml:space="preserve">El Pp “Servicios de Educación Superior y Posgrado de Calidad” en la UR cuenta con un mecanismo de solicitud documentado, público y accesible para el acceso a sus servicios académicos, el cual se adapta a la población objetivo y sigue una ruta clara desde la convocatoria hasta el seguimiento. Este proceso se sustenta en procedimientos institucionales vigentes para admisión, inscripción, tutorías, estadías y becas, complementados con convocatorias públicas, validación por comités y difusión mediante medios físicos y digitales. La accesibilidad se garantiza a través de plataformas como sistemas escolares y herramientas en línea, junto con comunicación clara de plazos, requisitos y responsables. No obstante, aunque se cumplen los criterios de claridad, accesibilidad y operación, se identifica como área de mejora la integración de la </w:t>
      </w:r>
      <w:r w:rsidR="007112FC" w:rsidRPr="00074E91">
        <w:rPr>
          <w:rFonts w:cs="Arial"/>
        </w:rPr>
        <w:lastRenderedPageBreak/>
        <w:t>información en un micrositio único con trazabilidad de trámites y medición de tiempos de respuesta, lo que permitiría fortalecer la estandarización del proceso.</w:t>
      </w:r>
    </w:p>
    <w:p w14:paraId="775E93ED" w14:textId="694DE38E" w:rsidR="007F333D" w:rsidRPr="00074E91" w:rsidRDefault="007112FC" w:rsidP="007F333D">
      <w:pPr>
        <w:rPr>
          <w:rFonts w:cs="Arial"/>
        </w:rPr>
      </w:pPr>
      <w:r w:rsidRPr="00074E91">
        <w:rPr>
          <w:rFonts w:cs="Arial"/>
        </w:rPr>
        <w:t>No</w:t>
      </w:r>
      <w:r w:rsidR="006653E8" w:rsidRPr="00074E91">
        <w:rPr>
          <w:rFonts w:cs="Arial"/>
        </w:rPr>
        <w:t xml:space="preserve"> </w:t>
      </w:r>
      <w:r w:rsidR="00385CF3" w:rsidRPr="00074E91">
        <w:rPr>
          <w:rFonts w:cs="Arial"/>
        </w:rPr>
        <w:t>obstante,</w:t>
      </w:r>
      <w:r w:rsidR="006653E8" w:rsidRPr="00074E91">
        <w:rPr>
          <w:rFonts w:cs="Arial"/>
        </w:rPr>
        <w:t xml:space="preserve"> no</w:t>
      </w:r>
      <w:r w:rsidRPr="00074E91">
        <w:rPr>
          <w:rFonts w:cs="Arial"/>
        </w:rPr>
        <w:t xml:space="preserve"> se cumple con los criterios señalados, debido a que </w:t>
      </w:r>
      <w:r w:rsidR="006653E8" w:rsidRPr="00074E91">
        <w:rPr>
          <w:rFonts w:cs="Arial"/>
        </w:rPr>
        <w:t>la información presentada no se encuentra alineada</w:t>
      </w:r>
      <w:r w:rsidRPr="00074E91">
        <w:rPr>
          <w:rFonts w:cs="Arial"/>
        </w:rPr>
        <w:t xml:space="preserve"> al Pp E053 “Servicios de Educación Superior y Posgrado de Calidad”, publicado en el Tomo IV de la LIPEES, lo que impide constatar que cuenta con procedimientos debidamente documentados para recibir, registrar y dar trámite a las solicitudes de los bienes y/o servicios que genera. En este sentido, no es posible acreditar que dichos procedimientos consideren y se adapten a las características de la población objetivo; que identifiquen y definan plazos y datos de contacto para la atención; que presenten con claridad los requisitos y formatos necesarios; ni que sean públicos y accesibles en un lenguaje claro, sencillo y comprensible para la población objetivo.</w:t>
      </w:r>
    </w:p>
    <w:p w14:paraId="025DF292" w14:textId="77777777" w:rsidR="00765264" w:rsidRPr="00074E91" w:rsidRDefault="00765264" w:rsidP="00190ACD">
      <w:pPr>
        <w:pStyle w:val="Prrafodelista"/>
        <w:numPr>
          <w:ilvl w:val="0"/>
          <w:numId w:val="13"/>
        </w:numPr>
        <w:spacing w:line="360" w:lineRule="auto"/>
        <w:rPr>
          <w:rFonts w:cs="Arial"/>
          <w:b/>
        </w:rPr>
      </w:pPr>
      <w:r w:rsidRPr="00074E91">
        <w:rPr>
          <w:rFonts w:cs="Arial"/>
          <w:b/>
        </w:rPr>
        <w:t>¿El Pp cuenta con procedimientos para la entrega de los bienes y/o servicios documentados que cumplen con las siguientes características?</w:t>
      </w:r>
    </w:p>
    <w:p w14:paraId="692F8E19" w14:textId="77777777" w:rsidR="00765264" w:rsidRPr="00074E91" w:rsidRDefault="00765264" w:rsidP="00765264">
      <w:pPr>
        <w:spacing w:before="240" w:after="120"/>
        <w:rPr>
          <w:rFonts w:cs="Arial"/>
          <w:b/>
          <w:u w:val="single"/>
        </w:rPr>
      </w:pPr>
      <w:r w:rsidRPr="00074E91">
        <w:rPr>
          <w:rFonts w:cs="Arial"/>
          <w:b/>
          <w:u w:val="single"/>
        </w:rPr>
        <w:t>Criterios de valoración:</w:t>
      </w:r>
    </w:p>
    <w:p w14:paraId="606B44BA" w14:textId="77777777" w:rsidR="00765264" w:rsidRPr="00074E91" w:rsidRDefault="00765264" w:rsidP="00190ACD">
      <w:pPr>
        <w:pStyle w:val="Prrafodelista"/>
        <w:numPr>
          <w:ilvl w:val="0"/>
          <w:numId w:val="34"/>
        </w:numPr>
        <w:spacing w:line="360" w:lineRule="auto"/>
        <w:rPr>
          <w:rFonts w:cs="Arial"/>
        </w:rPr>
      </w:pPr>
      <w:r w:rsidRPr="00074E91">
        <w:rPr>
          <w:rFonts w:cs="Arial"/>
        </w:rPr>
        <w:t xml:space="preserve">Consideran y se adaptan a las características de la población objetivo. </w:t>
      </w:r>
    </w:p>
    <w:p w14:paraId="0E3876C7" w14:textId="77777777" w:rsidR="00765264" w:rsidRPr="00074E91" w:rsidRDefault="00765264" w:rsidP="00190ACD">
      <w:pPr>
        <w:pStyle w:val="Prrafodelista"/>
        <w:numPr>
          <w:ilvl w:val="0"/>
          <w:numId w:val="34"/>
        </w:numPr>
        <w:spacing w:line="360" w:lineRule="auto"/>
        <w:rPr>
          <w:rFonts w:cs="Arial"/>
        </w:rPr>
      </w:pPr>
      <w:r w:rsidRPr="00074E91">
        <w:rPr>
          <w:rFonts w:cs="Arial"/>
        </w:rPr>
        <w:t>Identifican y definen plazos para cada procedimiento, así como datos de contacto para la atención al público.</w:t>
      </w:r>
    </w:p>
    <w:p w14:paraId="273176A7" w14:textId="77777777" w:rsidR="00765264" w:rsidRPr="00074E91" w:rsidRDefault="00765264" w:rsidP="00190ACD">
      <w:pPr>
        <w:pStyle w:val="Prrafodelista"/>
        <w:numPr>
          <w:ilvl w:val="0"/>
          <w:numId w:val="34"/>
        </w:numPr>
        <w:spacing w:line="360" w:lineRule="auto"/>
        <w:rPr>
          <w:rFonts w:cs="Arial"/>
        </w:rPr>
      </w:pPr>
      <w:r w:rsidRPr="00074E91">
        <w:rPr>
          <w:rFonts w:cs="Arial"/>
        </w:rPr>
        <w:t>Presentan y describen los requisitos y formatos necesarios para el procedimiento.</w:t>
      </w:r>
    </w:p>
    <w:p w14:paraId="2FA1ADA6" w14:textId="77777777" w:rsidR="00765264" w:rsidRPr="00074E91" w:rsidRDefault="00765264" w:rsidP="00190ACD">
      <w:pPr>
        <w:pStyle w:val="Prrafodelista"/>
        <w:numPr>
          <w:ilvl w:val="0"/>
          <w:numId w:val="34"/>
        </w:numPr>
        <w:spacing w:line="360" w:lineRule="auto"/>
        <w:rPr>
          <w:rFonts w:cs="Arial"/>
        </w:rPr>
      </w:pPr>
      <w:r w:rsidRPr="00074E91">
        <w:rPr>
          <w:rFonts w:cs="Arial"/>
        </w:rPr>
        <w:t>Son públicos y accesibles a la población objetivo en un lenguaje claro, sencillo y conciso.</w:t>
      </w:r>
    </w:p>
    <w:p w14:paraId="688F8FFF" w14:textId="77777777" w:rsidR="00765264" w:rsidRPr="00074E91" w:rsidRDefault="00765264" w:rsidP="00765264">
      <w:pPr>
        <w:spacing w:before="240" w:after="120"/>
        <w:rPr>
          <w:rFonts w:cs="Arial"/>
          <w:b/>
          <w:u w:val="single"/>
        </w:rPr>
      </w:pPr>
      <w:r w:rsidRPr="00074E91">
        <w:rPr>
          <w:rFonts w:cs="Arial"/>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713"/>
        <w:gridCol w:w="7524"/>
      </w:tblGrid>
      <w:tr w:rsidR="00765264" w:rsidRPr="00074E91" w14:paraId="04E9DACF" w14:textId="77777777" w:rsidTr="00687562">
        <w:trPr>
          <w:trHeight w:val="340"/>
          <w:tblHeader/>
          <w:jc w:val="right"/>
        </w:trPr>
        <w:tc>
          <w:tcPr>
            <w:tcW w:w="433" w:type="pct"/>
            <w:vMerge w:val="restart"/>
            <w:shd w:val="clear" w:color="auto" w:fill="7F7F7F" w:themeFill="text1" w:themeFillTint="80"/>
            <w:vAlign w:val="center"/>
          </w:tcPr>
          <w:p w14:paraId="6694098B" w14:textId="77777777" w:rsidR="00765264" w:rsidRPr="00074E91" w:rsidRDefault="00765264"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074E91">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583F0684" w14:textId="77777777" w:rsidR="00765264" w:rsidRPr="00074E91" w:rsidRDefault="00765264"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074E91">
              <w:rPr>
                <w:rFonts w:eastAsia="Times" w:cs="Arial"/>
                <w:b/>
                <w:iCs/>
                <w:color w:val="FFFFFF" w:themeColor="background1"/>
                <w:szCs w:val="20"/>
                <w:lang w:eastAsia="es-MX"/>
              </w:rPr>
              <w:t>Criterios</w:t>
            </w:r>
          </w:p>
        </w:tc>
      </w:tr>
      <w:tr w:rsidR="00765264" w:rsidRPr="00074E91" w14:paraId="4637F05F" w14:textId="77777777" w:rsidTr="00687562">
        <w:trPr>
          <w:jc w:val="right"/>
        </w:trPr>
        <w:tc>
          <w:tcPr>
            <w:tcW w:w="433" w:type="pct"/>
            <w:vMerge/>
            <w:vAlign w:val="center"/>
          </w:tcPr>
          <w:p w14:paraId="1A7BFD69" w14:textId="77777777" w:rsidR="00765264" w:rsidRPr="00074E91" w:rsidRDefault="00765264"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21B56031" w14:textId="77777777" w:rsidR="00765264" w:rsidRPr="00074E91" w:rsidRDefault="00765264" w:rsidP="00FC66EE">
            <w:pPr>
              <w:spacing w:after="0" w:line="240" w:lineRule="atLeast"/>
              <w:jc w:val="left"/>
              <w:rPr>
                <w:rFonts w:eastAsia="Calibri" w:cs="Arial"/>
                <w:szCs w:val="20"/>
                <w:lang w:eastAsia="es-MX"/>
              </w:rPr>
            </w:pPr>
            <w:r w:rsidRPr="00074E91">
              <w:rPr>
                <w:rFonts w:eastAsia="Calibri" w:cs="Arial"/>
                <w:szCs w:val="20"/>
                <w:lang w:eastAsia="es-MX"/>
              </w:rPr>
              <w:t>Los criterios de selección cuentan con:</w:t>
            </w:r>
          </w:p>
        </w:tc>
      </w:tr>
      <w:tr w:rsidR="00765264" w:rsidRPr="00074E91" w14:paraId="04DE99DB" w14:textId="77777777" w:rsidTr="00F57B9E">
        <w:trPr>
          <w:jc w:val="right"/>
        </w:trPr>
        <w:tc>
          <w:tcPr>
            <w:tcW w:w="433" w:type="pct"/>
            <w:vAlign w:val="center"/>
          </w:tcPr>
          <w:p w14:paraId="6B0D4BAB" w14:textId="18A2812A" w:rsidR="00765264" w:rsidRPr="00074E91" w:rsidRDefault="00AB2A80"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sidRPr="00074E91">
              <w:rPr>
                <w:rFonts w:eastAsia="Calibri" w:cs="Arial"/>
                <w:szCs w:val="20"/>
                <w:lang w:eastAsia="es-MX"/>
              </w:rPr>
              <w:t>1</w:t>
            </w:r>
          </w:p>
        </w:tc>
        <w:tc>
          <w:tcPr>
            <w:tcW w:w="4567" w:type="pct"/>
            <w:vAlign w:val="center"/>
          </w:tcPr>
          <w:p w14:paraId="781CD32F" w14:textId="77777777" w:rsidR="00765264" w:rsidRPr="00074E91" w:rsidRDefault="00F57B9E" w:rsidP="00F57B9E">
            <w:pPr>
              <w:numPr>
                <w:ilvl w:val="0"/>
                <w:numId w:val="1"/>
              </w:numPr>
              <w:spacing w:after="0" w:line="240" w:lineRule="atLeast"/>
              <w:jc w:val="left"/>
              <w:rPr>
                <w:rFonts w:eastAsia="Calibri" w:cs="Arial"/>
                <w:szCs w:val="20"/>
                <w:lang w:eastAsia="es-MX"/>
              </w:rPr>
            </w:pPr>
            <w:r w:rsidRPr="00074E91">
              <w:rPr>
                <w:rFonts w:eastAsia="Calibri" w:cs="Arial"/>
                <w:szCs w:val="20"/>
                <w:lang w:eastAsia="es-MX"/>
              </w:rPr>
              <w:t xml:space="preserve">Tres de los criterios de valoración. </w:t>
            </w:r>
          </w:p>
        </w:tc>
      </w:tr>
    </w:tbl>
    <w:p w14:paraId="64790C28" w14:textId="3806EE95" w:rsidR="007F333D" w:rsidRPr="00074E91" w:rsidRDefault="00687562" w:rsidP="003B4EED">
      <w:pPr>
        <w:spacing w:before="240" w:after="120"/>
        <w:rPr>
          <w:rFonts w:cs="Arial"/>
        </w:rPr>
      </w:pPr>
      <w:r w:rsidRPr="00074E91">
        <w:rPr>
          <w:rFonts w:cs="Arial"/>
          <w:b/>
          <w:u w:val="single"/>
        </w:rPr>
        <w:t>Justificación:</w:t>
      </w:r>
      <w:r w:rsidR="003B4EED" w:rsidRPr="003B4EED">
        <w:rPr>
          <w:rFonts w:cs="Arial"/>
          <w:bCs/>
        </w:rPr>
        <w:t xml:space="preserve"> </w:t>
      </w:r>
      <w:r w:rsidR="00135982" w:rsidRPr="00074E91">
        <w:rPr>
          <w:rFonts w:cs="Arial"/>
        </w:rPr>
        <w:t>La UR evaluada comenta que el Pp “Servicios de Educación Superior y Posgrado de Calidad” cuenta con procedimientos documentados y en operación para la entrega de sus servicios académicos admisión, inscripción, tutorías, estadías, becas, inglés/BIS, biblioteca y control escolar, los cuales cumplen en términos generales con criterios de claridad, accesibilidad, definición de requisitos y plazos, y adaptación a la población objetivo. Estos procesos se sustentan en normativa institucional específica, utilizan formatos estandarizados y se difunden mediante canales presenciales y digitales, garantizando atención oportuna y acceso a la información. No obstante, se identifica como área de mejora la integración y estandarización transversal de estos procedimientos para fortalecer su consistencia y facilitar su consulta en un solo espacio</w:t>
      </w:r>
      <w:r w:rsidR="007F333D" w:rsidRPr="00074E91">
        <w:rPr>
          <w:rFonts w:cs="Arial"/>
        </w:rPr>
        <w:t>.</w:t>
      </w:r>
    </w:p>
    <w:p w14:paraId="3D7587B2" w14:textId="637F79FE" w:rsidR="008C4FF9" w:rsidRPr="00074E91" w:rsidRDefault="00205E1A" w:rsidP="007F333D">
      <w:pPr>
        <w:rPr>
          <w:rFonts w:cs="Arial"/>
        </w:rPr>
      </w:pPr>
      <w:r w:rsidRPr="00074E91">
        <w:rPr>
          <w:rFonts w:cs="Arial"/>
        </w:rPr>
        <w:lastRenderedPageBreak/>
        <w:t xml:space="preserve">Sin </w:t>
      </w:r>
      <w:r w:rsidR="003B4EED" w:rsidRPr="00074E91">
        <w:rPr>
          <w:rFonts w:cs="Arial"/>
        </w:rPr>
        <w:t>embargo,</w:t>
      </w:r>
      <w:r w:rsidRPr="00074E91">
        <w:rPr>
          <w:rFonts w:cs="Arial"/>
        </w:rPr>
        <w:t xml:space="preserve"> lo anterior no se encuentra alineado al Pp E053 “Servicios de Educación Superior y Posgrado de Calidad”, conforme a lo publicado en el Tomo IV de la LIPEES, lo que impide acreditar que cuenta con procedimientos debidamente documentados para la entrega de los bienes y/o servicios que genera. En consecuencia, no es posible verificar que dichos procedimientos consideren y se adapten a las características de la población objetivo; que identifiquen y definan plazos y datos de contacto para la atención al público; que describan con claridad los requisitos y formatos necesarios; ni que sean públicos y accesibles en un lenguaje claro, sencillo y comprensible para la población objetivo.</w:t>
      </w:r>
    </w:p>
    <w:p w14:paraId="12D4436F" w14:textId="77777777" w:rsidR="00765264" w:rsidRPr="00074E91" w:rsidRDefault="00765264" w:rsidP="00190ACD">
      <w:pPr>
        <w:pStyle w:val="Prrafodelista"/>
        <w:numPr>
          <w:ilvl w:val="0"/>
          <w:numId w:val="26"/>
        </w:numPr>
        <w:spacing w:after="0" w:line="360" w:lineRule="auto"/>
        <w:rPr>
          <w:rFonts w:cs="Arial"/>
          <w:b/>
        </w:rPr>
      </w:pPr>
      <w:r w:rsidRPr="00074E91">
        <w:rPr>
          <w:rFonts w:cs="Arial"/>
          <w:b/>
        </w:rPr>
        <w:t>Padrón</w:t>
      </w:r>
    </w:p>
    <w:p w14:paraId="742BB830" w14:textId="77777777" w:rsidR="00765264" w:rsidRPr="00074E91" w:rsidRDefault="00765264" w:rsidP="00765264">
      <w:pPr>
        <w:spacing w:after="0" w:line="240" w:lineRule="auto"/>
        <w:rPr>
          <w:rFonts w:cs="Arial"/>
        </w:rPr>
      </w:pPr>
    </w:p>
    <w:p w14:paraId="4C45F27D" w14:textId="77777777" w:rsidR="00765264" w:rsidRPr="00074E91" w:rsidRDefault="00765264" w:rsidP="00190ACD">
      <w:pPr>
        <w:pStyle w:val="Prrafodelista"/>
        <w:numPr>
          <w:ilvl w:val="0"/>
          <w:numId w:val="13"/>
        </w:numPr>
        <w:spacing w:line="360" w:lineRule="auto"/>
        <w:rPr>
          <w:rFonts w:cs="Arial"/>
          <w:b/>
        </w:rPr>
      </w:pPr>
      <w:r w:rsidRPr="00074E91">
        <w:rPr>
          <w:rFonts w:cs="Arial"/>
          <w:b/>
        </w:rPr>
        <w:t>¿</w:t>
      </w:r>
      <w:r w:rsidR="003F6330" w:rsidRPr="00074E91">
        <w:rPr>
          <w:rFonts w:cs="Arial"/>
          <w:b/>
        </w:rPr>
        <w:t>El Pp cuenta con información documentada que permite conocer a la población atendida, que cumpla con las siguientes características</w:t>
      </w:r>
      <w:r w:rsidRPr="00074E91">
        <w:rPr>
          <w:rFonts w:cs="Arial"/>
          <w:b/>
        </w:rPr>
        <w:t>?</w:t>
      </w:r>
    </w:p>
    <w:p w14:paraId="3274725D" w14:textId="77777777" w:rsidR="00765264" w:rsidRPr="00074E91" w:rsidRDefault="00765264" w:rsidP="00765264">
      <w:pPr>
        <w:spacing w:before="240" w:after="120"/>
        <w:rPr>
          <w:rFonts w:cs="Arial"/>
          <w:b/>
          <w:u w:val="single"/>
        </w:rPr>
      </w:pPr>
      <w:r w:rsidRPr="00074E91">
        <w:rPr>
          <w:rFonts w:cs="Arial"/>
          <w:b/>
          <w:u w:val="single"/>
        </w:rPr>
        <w:t>Criterios de valoración:</w:t>
      </w:r>
    </w:p>
    <w:p w14:paraId="3854222B" w14:textId="77777777" w:rsidR="00765264" w:rsidRPr="00074E91" w:rsidRDefault="00765264" w:rsidP="00190ACD">
      <w:pPr>
        <w:pStyle w:val="Prrafodelista"/>
        <w:numPr>
          <w:ilvl w:val="0"/>
          <w:numId w:val="37"/>
        </w:numPr>
        <w:spacing w:line="360" w:lineRule="auto"/>
        <w:rPr>
          <w:rFonts w:cs="Arial"/>
        </w:rPr>
      </w:pPr>
      <w:r w:rsidRPr="00074E91">
        <w:rPr>
          <w:rFonts w:cs="Arial"/>
        </w:rPr>
        <w:t>Incluye características de la población atendida.</w:t>
      </w:r>
    </w:p>
    <w:p w14:paraId="0EAF90EF" w14:textId="77777777" w:rsidR="00765264" w:rsidRPr="00074E91" w:rsidRDefault="00765264" w:rsidP="00190ACD">
      <w:pPr>
        <w:pStyle w:val="Prrafodelista"/>
        <w:numPr>
          <w:ilvl w:val="0"/>
          <w:numId w:val="37"/>
        </w:numPr>
        <w:spacing w:line="360" w:lineRule="auto"/>
        <w:rPr>
          <w:rFonts w:cs="Arial"/>
        </w:rPr>
      </w:pPr>
      <w:r w:rsidRPr="00074E91">
        <w:rPr>
          <w:rFonts w:cs="Arial"/>
        </w:rPr>
        <w:t>Incluye características del tipo de bien o servicio otorgado.</w:t>
      </w:r>
    </w:p>
    <w:p w14:paraId="0057D4FB" w14:textId="77777777" w:rsidR="00765264" w:rsidRPr="00074E91" w:rsidRDefault="00765264" w:rsidP="00190ACD">
      <w:pPr>
        <w:pStyle w:val="Prrafodelista"/>
        <w:numPr>
          <w:ilvl w:val="0"/>
          <w:numId w:val="37"/>
        </w:numPr>
        <w:spacing w:line="360" w:lineRule="auto"/>
        <w:rPr>
          <w:rFonts w:cs="Arial"/>
        </w:rPr>
      </w:pPr>
      <w:r w:rsidRPr="00074E91">
        <w:rPr>
          <w:rFonts w:cs="Arial"/>
        </w:rPr>
        <w:t>Se encuentra sistematizada</w:t>
      </w:r>
      <w:r w:rsidR="003F6330" w:rsidRPr="00074E91">
        <w:rPr>
          <w:rStyle w:val="Refdenotaalpie"/>
          <w:rFonts w:cs="Arial"/>
        </w:rPr>
        <w:footnoteReference w:id="1"/>
      </w:r>
      <w:r w:rsidRPr="00074E91">
        <w:rPr>
          <w:rFonts w:cs="Arial"/>
        </w:rPr>
        <w:t xml:space="preserve"> y cuenta con mecanismos documentados para su depuración y actualización.</w:t>
      </w:r>
    </w:p>
    <w:p w14:paraId="44923E7B" w14:textId="77777777" w:rsidR="00765264" w:rsidRPr="00074E91" w:rsidRDefault="00765264" w:rsidP="00190ACD">
      <w:pPr>
        <w:pStyle w:val="Prrafodelista"/>
        <w:numPr>
          <w:ilvl w:val="0"/>
          <w:numId w:val="37"/>
        </w:numPr>
        <w:spacing w:line="360" w:lineRule="auto"/>
        <w:rPr>
          <w:rFonts w:cs="Arial"/>
        </w:rPr>
      </w:pPr>
      <w:r w:rsidRPr="00074E91">
        <w:rPr>
          <w:rFonts w:cs="Arial"/>
        </w:rPr>
        <w:t>Incluye una clave única por unidad o elemento de la población atendida que permite su identificación en el tiempo.</w:t>
      </w:r>
    </w:p>
    <w:p w14:paraId="3973CF59" w14:textId="77777777" w:rsidR="00765264" w:rsidRPr="00074E91" w:rsidRDefault="00765264" w:rsidP="00765264">
      <w:pPr>
        <w:spacing w:before="240" w:after="120"/>
        <w:rPr>
          <w:rFonts w:cs="Arial"/>
          <w:b/>
          <w:u w:val="single"/>
        </w:rPr>
      </w:pPr>
      <w:r w:rsidRPr="00074E91">
        <w:rPr>
          <w:rFonts w:cs="Arial"/>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713"/>
        <w:gridCol w:w="7524"/>
      </w:tblGrid>
      <w:tr w:rsidR="00765264" w:rsidRPr="00074E91" w14:paraId="4851D174" w14:textId="77777777" w:rsidTr="00687562">
        <w:trPr>
          <w:trHeight w:val="340"/>
          <w:tblHeader/>
          <w:jc w:val="right"/>
        </w:trPr>
        <w:tc>
          <w:tcPr>
            <w:tcW w:w="433" w:type="pct"/>
            <w:vMerge w:val="restart"/>
            <w:shd w:val="clear" w:color="auto" w:fill="7F7F7F" w:themeFill="text1" w:themeFillTint="80"/>
            <w:vAlign w:val="center"/>
          </w:tcPr>
          <w:p w14:paraId="2AE66951" w14:textId="77777777" w:rsidR="00765264" w:rsidRPr="00074E91" w:rsidRDefault="00765264"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074E91">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6463160D" w14:textId="77777777" w:rsidR="00765264" w:rsidRPr="00074E91" w:rsidRDefault="00765264"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074E91">
              <w:rPr>
                <w:rFonts w:eastAsia="Times" w:cs="Arial"/>
                <w:b/>
                <w:iCs/>
                <w:color w:val="FFFFFF" w:themeColor="background1"/>
                <w:szCs w:val="20"/>
                <w:lang w:eastAsia="es-MX"/>
              </w:rPr>
              <w:t>Criterios</w:t>
            </w:r>
          </w:p>
        </w:tc>
      </w:tr>
      <w:tr w:rsidR="00765264" w:rsidRPr="00074E91" w14:paraId="0A238312" w14:textId="77777777" w:rsidTr="00687562">
        <w:trPr>
          <w:jc w:val="right"/>
        </w:trPr>
        <w:tc>
          <w:tcPr>
            <w:tcW w:w="433" w:type="pct"/>
            <w:vMerge/>
            <w:vAlign w:val="center"/>
          </w:tcPr>
          <w:p w14:paraId="05DD3C17" w14:textId="77777777" w:rsidR="00765264" w:rsidRPr="00074E91" w:rsidRDefault="00765264"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1356F5E1" w14:textId="77777777" w:rsidR="00765264" w:rsidRPr="00074E91" w:rsidRDefault="003F6330" w:rsidP="00FC66EE">
            <w:pPr>
              <w:spacing w:after="0" w:line="240" w:lineRule="atLeast"/>
              <w:jc w:val="left"/>
              <w:rPr>
                <w:rFonts w:eastAsia="Calibri" w:cs="Arial"/>
                <w:szCs w:val="20"/>
                <w:lang w:eastAsia="es-MX"/>
              </w:rPr>
            </w:pPr>
            <w:r w:rsidRPr="00074E91">
              <w:rPr>
                <w:rFonts w:eastAsia="Calibri" w:cs="Arial"/>
                <w:szCs w:val="20"/>
                <w:lang w:eastAsia="es-MX"/>
              </w:rPr>
              <w:t>La información cuenta con:</w:t>
            </w:r>
          </w:p>
        </w:tc>
      </w:tr>
      <w:tr w:rsidR="00765264" w:rsidRPr="00074E91" w14:paraId="68A9DE84" w14:textId="77777777" w:rsidTr="005B24A4">
        <w:trPr>
          <w:jc w:val="right"/>
        </w:trPr>
        <w:tc>
          <w:tcPr>
            <w:tcW w:w="433" w:type="pct"/>
            <w:vAlign w:val="center"/>
          </w:tcPr>
          <w:p w14:paraId="0F680436" w14:textId="08AD4A94" w:rsidR="00765264" w:rsidRPr="00074E91" w:rsidRDefault="00AB2A80"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sidRPr="00074E91">
              <w:rPr>
                <w:rFonts w:eastAsia="Calibri" w:cs="Arial"/>
                <w:szCs w:val="20"/>
                <w:lang w:eastAsia="es-MX"/>
              </w:rPr>
              <w:t>1</w:t>
            </w:r>
          </w:p>
        </w:tc>
        <w:tc>
          <w:tcPr>
            <w:tcW w:w="4567" w:type="pct"/>
            <w:vAlign w:val="center"/>
          </w:tcPr>
          <w:p w14:paraId="247647B6" w14:textId="021EE079" w:rsidR="005B24A4" w:rsidRPr="00074E91" w:rsidRDefault="00DA7AEF" w:rsidP="005B24A4">
            <w:pPr>
              <w:numPr>
                <w:ilvl w:val="0"/>
                <w:numId w:val="1"/>
              </w:numPr>
              <w:spacing w:after="0" w:line="240" w:lineRule="atLeast"/>
              <w:jc w:val="left"/>
              <w:rPr>
                <w:rFonts w:eastAsia="Calibri" w:cs="Arial"/>
                <w:szCs w:val="20"/>
                <w:lang w:eastAsia="es-MX"/>
              </w:rPr>
            </w:pPr>
            <w:r w:rsidRPr="00074E91">
              <w:rPr>
                <w:rFonts w:eastAsia="Calibri" w:cs="Arial"/>
                <w:szCs w:val="20"/>
                <w:lang w:eastAsia="es-MX"/>
              </w:rPr>
              <w:t>Tres</w:t>
            </w:r>
            <w:r w:rsidR="005B24A4" w:rsidRPr="00074E91">
              <w:rPr>
                <w:rFonts w:eastAsia="Calibri" w:cs="Arial"/>
                <w:szCs w:val="20"/>
                <w:lang w:eastAsia="es-MX"/>
              </w:rPr>
              <w:t xml:space="preserve"> de los criterios de valoración. </w:t>
            </w:r>
          </w:p>
        </w:tc>
      </w:tr>
    </w:tbl>
    <w:p w14:paraId="18157F3C" w14:textId="29354690" w:rsidR="006636AE" w:rsidRPr="00074E91" w:rsidRDefault="00687562" w:rsidP="003B4EED">
      <w:pPr>
        <w:spacing w:before="240" w:after="120"/>
        <w:rPr>
          <w:rFonts w:cs="Arial"/>
        </w:rPr>
      </w:pPr>
      <w:r w:rsidRPr="00074E91">
        <w:rPr>
          <w:rFonts w:cs="Arial"/>
          <w:b/>
          <w:u w:val="single"/>
        </w:rPr>
        <w:t>Justificación:</w:t>
      </w:r>
      <w:r w:rsidR="003B4EED" w:rsidRPr="003B4EED">
        <w:rPr>
          <w:rFonts w:cs="Arial"/>
          <w:bCs/>
        </w:rPr>
        <w:t xml:space="preserve"> </w:t>
      </w:r>
      <w:r w:rsidR="001A2279" w:rsidRPr="00074E91">
        <w:rPr>
          <w:rFonts w:cs="Arial"/>
        </w:rPr>
        <w:t xml:space="preserve">LA UR del </w:t>
      </w:r>
      <w:r w:rsidR="006636AE" w:rsidRPr="00074E91">
        <w:rPr>
          <w:rFonts w:cs="Arial"/>
        </w:rPr>
        <w:t>Pp</w:t>
      </w:r>
      <w:r w:rsidR="001A2279" w:rsidRPr="00074E91">
        <w:rPr>
          <w:rFonts w:cs="Arial"/>
        </w:rPr>
        <w:t xml:space="preserve"> comenta que</w:t>
      </w:r>
      <w:r w:rsidR="006636AE" w:rsidRPr="00074E91">
        <w:rPr>
          <w:rFonts w:cs="Arial"/>
        </w:rPr>
        <w:t xml:space="preserve"> a través de la UTC dispone de información documentada y sistematizada sobre la población atendida, la cual se integra y actualiza mediante diversos instrumentos institucionales (procesos de admisión e inscripción, reportes académicos y sistemas de control escolar). Esta información permite identificar características clave de la población (programa, nivel, sexo, condición académica), así como dar seguimiento individual mediante identificadores únicos (matrícula) y apoyar la planeación y el reporte oficial, evidenciando que el padrón se actualiza al menos una vez por ciclo escolar.</w:t>
      </w:r>
    </w:p>
    <w:p w14:paraId="7B5BB528" w14:textId="7F460E2B" w:rsidR="007F333D" w:rsidRPr="00074E91" w:rsidRDefault="001A2279" w:rsidP="006636AE">
      <w:pPr>
        <w:spacing w:after="0"/>
        <w:rPr>
          <w:rFonts w:cs="Arial"/>
        </w:rPr>
      </w:pPr>
      <w:r w:rsidRPr="00074E91">
        <w:rPr>
          <w:rFonts w:cs="Arial"/>
        </w:rPr>
        <w:lastRenderedPageBreak/>
        <w:t>Adicional a lo anterior</w:t>
      </w:r>
      <w:r w:rsidR="007910AA" w:rsidRPr="00074E91">
        <w:rPr>
          <w:rFonts w:cs="Arial"/>
        </w:rPr>
        <w:t xml:space="preserve"> la UR reconoce que </w:t>
      </w:r>
      <w:r w:rsidR="006636AE" w:rsidRPr="00074E91">
        <w:rPr>
          <w:rFonts w:cs="Arial"/>
        </w:rPr>
        <w:t>la principal área de mejora es que el procedimiento de integración, actualización y depuración del padrón no está formalmente normado como un proceso específico, sino que se encuentra disperso en distintos procedimientos y prácticas administrativas. Además, no existe una norma clara que establezca criterios, periodicidad y mecanismos para la depuración, conciliación de información y manejo de inconsistencias, lo que limita su estandarización y control.</w:t>
      </w:r>
    </w:p>
    <w:p w14:paraId="739F7B02" w14:textId="77777777" w:rsidR="00635455" w:rsidRPr="00074E91" w:rsidRDefault="00635455" w:rsidP="006636AE">
      <w:pPr>
        <w:spacing w:after="0"/>
        <w:rPr>
          <w:rFonts w:cs="Arial"/>
        </w:rPr>
      </w:pPr>
    </w:p>
    <w:p w14:paraId="483EE41A" w14:textId="77125365" w:rsidR="00635455" w:rsidRPr="00074E91" w:rsidRDefault="00635455" w:rsidP="007910AA">
      <w:pPr>
        <w:spacing w:after="0"/>
        <w:rPr>
          <w:rFonts w:cs="Arial"/>
        </w:rPr>
      </w:pPr>
      <w:r w:rsidRPr="00074E91">
        <w:rPr>
          <w:rFonts w:cs="Arial"/>
        </w:rPr>
        <w:t>“No obstante, la población potencial y objetivo estimada en 133,430 alumnos de educación superior resulta inconsistente, ya que representa únicamente una fracción de la población identificada en el Pp E053 ‘Servicios de Educación Superior y Posgrados de Calidad’, lo que evidencia limitaciones en su delimitación y en la articulación entre ambos programas. En este sentido, no se cumple con los criterios establecidos, toda vez que la información disponible no incluye de manera integral las características de la población atendida ni del tipo de bien o servicio otorgado; asimismo, no se encuentra debidamente sistematizada ni cuenta con mecanismos documentados para su depuración y actualización, y tampoco incorpora una clave única por unidad o elemento que permita su identificación y seguimiento en el tiempo”</w:t>
      </w:r>
      <w:r w:rsidR="003B4EED">
        <w:rPr>
          <w:rFonts w:cs="Arial"/>
        </w:rPr>
        <w:t>.</w:t>
      </w:r>
    </w:p>
    <w:p w14:paraId="7DA08C44" w14:textId="795335DA" w:rsidR="004235C6" w:rsidRPr="00074E91" w:rsidRDefault="004235C6" w:rsidP="004235C6">
      <w:pPr>
        <w:spacing w:after="0"/>
        <w:rPr>
          <w:rFonts w:cs="Arial"/>
        </w:rPr>
      </w:pPr>
    </w:p>
    <w:p w14:paraId="0841BF4A" w14:textId="77777777" w:rsidR="007872B7" w:rsidRPr="00074E91" w:rsidRDefault="007872B7" w:rsidP="00190ACD">
      <w:pPr>
        <w:pStyle w:val="Prrafodelista"/>
        <w:numPr>
          <w:ilvl w:val="0"/>
          <w:numId w:val="13"/>
        </w:numPr>
        <w:spacing w:line="360" w:lineRule="auto"/>
        <w:rPr>
          <w:rFonts w:cs="Arial"/>
          <w:b/>
        </w:rPr>
      </w:pPr>
      <w:r w:rsidRPr="00074E91">
        <w:rPr>
          <w:rFonts w:cs="Arial"/>
          <w:b/>
        </w:rPr>
        <w:t>¿Qué cambio se ha generado en la Población Atendida tras la intervención del Programa presupuestario y como incide en el Bienestar de la Población?</w:t>
      </w:r>
    </w:p>
    <w:p w14:paraId="44783A90" w14:textId="2E9605A2" w:rsidR="00635455" w:rsidRPr="00074E91" w:rsidRDefault="007872B7" w:rsidP="003B4EED">
      <w:pPr>
        <w:spacing w:before="240" w:after="120"/>
        <w:rPr>
          <w:rFonts w:cs="Arial"/>
        </w:rPr>
      </w:pPr>
      <w:r w:rsidRPr="00074E91">
        <w:rPr>
          <w:rFonts w:cs="Arial"/>
          <w:b/>
          <w:u w:val="single"/>
        </w:rPr>
        <w:t>Respuesta</w:t>
      </w:r>
      <w:r w:rsidRPr="00074E91">
        <w:rPr>
          <w:rFonts w:cs="Arial"/>
          <w:b/>
        </w:rPr>
        <w:t>:</w:t>
      </w:r>
      <w:r w:rsidR="003B4EED" w:rsidRPr="003B4EED">
        <w:rPr>
          <w:rFonts w:cs="Arial"/>
          <w:bCs/>
        </w:rPr>
        <w:t xml:space="preserve"> </w:t>
      </w:r>
      <w:r w:rsidR="004235C6" w:rsidRPr="00074E91">
        <w:rPr>
          <w:rFonts w:cs="Arial"/>
        </w:rPr>
        <w:t xml:space="preserve">La UR </w:t>
      </w:r>
      <w:r w:rsidR="00385CF3" w:rsidRPr="00074E91">
        <w:rPr>
          <w:rFonts w:cs="Arial"/>
        </w:rPr>
        <w:t>del Pp</w:t>
      </w:r>
      <w:r w:rsidR="00635455" w:rsidRPr="00074E91">
        <w:rPr>
          <w:rFonts w:cs="Arial"/>
        </w:rPr>
        <w:t xml:space="preserve"> “</w:t>
      </w:r>
      <w:r w:rsidR="004235C6" w:rsidRPr="00074E91">
        <w:rPr>
          <w:rFonts w:cs="Arial"/>
        </w:rPr>
        <w:t xml:space="preserve">E053 </w:t>
      </w:r>
      <w:r w:rsidR="00635455" w:rsidRPr="00074E91">
        <w:rPr>
          <w:rFonts w:cs="Arial"/>
        </w:rPr>
        <w:t>Servicios de Educación Superior y Posgrado de Calidad”, en congruencia con su Propósito en la MIR, ha generado cambios positivos en el bienestar estudiantil durante 2024–2025, particularmente en acceso, permanencia, egreso y empleabilid</w:t>
      </w:r>
      <w:r w:rsidR="004235C6" w:rsidRPr="00074E91">
        <w:rPr>
          <w:rFonts w:cs="Arial"/>
        </w:rPr>
        <w:t>ad.</w:t>
      </w:r>
    </w:p>
    <w:p w14:paraId="5B7F881A" w14:textId="659195AB" w:rsidR="00635455" w:rsidRPr="00074E91" w:rsidRDefault="00635455" w:rsidP="00635455">
      <w:pPr>
        <w:rPr>
          <w:rFonts w:cs="Arial"/>
        </w:rPr>
      </w:pPr>
      <w:r w:rsidRPr="00074E91">
        <w:rPr>
          <w:rFonts w:cs="Arial"/>
        </w:rPr>
        <w:t>Destaca que la cobertura de tutorías alcanza el 100% de los grupos y supera metas de atención, lo que fortalece la retención académica. En empleabilidad, las estadías profesionales se consolidan como un mecanismo efectivo de inserción laboral, con alta participación en el sector privado y niveles elevados de satisfacción de empleadores, además de evidencias de colocación laboral relevante entre egresados (63.</w:t>
      </w:r>
      <w:r w:rsidR="004235C6" w:rsidRPr="00074E91">
        <w:rPr>
          <w:rFonts w:cs="Arial"/>
        </w:rPr>
        <w:t>64% empleados, 85% en su área).</w:t>
      </w:r>
    </w:p>
    <w:p w14:paraId="63C8E4EA" w14:textId="18DD0294" w:rsidR="00635455" w:rsidRPr="00074E91" w:rsidRDefault="00635455" w:rsidP="00635455">
      <w:pPr>
        <w:rPr>
          <w:rFonts w:cs="Arial"/>
        </w:rPr>
      </w:pPr>
      <w:r w:rsidRPr="00074E91">
        <w:rPr>
          <w:rFonts w:cs="Arial"/>
        </w:rPr>
        <w:t>En materia de equidad e inclusión, se cumplen metas al 100% en becas para mujeres, atención a estudiantes con discapacidad y adecuación de espacios, junto con acciones institucionales en cultura de paz y prevención de violencia, lo que mejora el clima escolar. Asimismo, las actividades culturales, deportivas e internacionales contribuyen al desarrollo integral, fortaleciendo habilidades socioemocional</w:t>
      </w:r>
      <w:r w:rsidR="004235C6" w:rsidRPr="00074E91">
        <w:rPr>
          <w:rFonts w:cs="Arial"/>
        </w:rPr>
        <w:t>es y la proyección profesional.</w:t>
      </w:r>
    </w:p>
    <w:p w14:paraId="450A1B2A" w14:textId="50BD97E9" w:rsidR="007F333D" w:rsidRPr="00074E91" w:rsidRDefault="00635455" w:rsidP="00635455">
      <w:pPr>
        <w:rPr>
          <w:rFonts w:cs="Arial"/>
        </w:rPr>
      </w:pPr>
      <w:r w:rsidRPr="00074E91">
        <w:rPr>
          <w:rFonts w:cs="Arial"/>
        </w:rPr>
        <w:t xml:space="preserve">Adicionalmente, los apoyos económicos y el seguimiento a egresados refuerzan la permanencia y la calidad formativa, reflejados en altos niveles de satisfacción académica. En conjunto, la intervención del Pp incide tanto en condiciones objetivas (retención, empleo, apoyos) como </w:t>
      </w:r>
      <w:r w:rsidRPr="00074E91">
        <w:rPr>
          <w:rFonts w:cs="Arial"/>
        </w:rPr>
        <w:lastRenderedPageBreak/>
        <w:t>subjetivas (bienestar, pertenencia y confianza), materializando su propósito en beneficios tangibles para el estudiantado</w:t>
      </w:r>
      <w:r w:rsidR="007F333D" w:rsidRPr="00074E91">
        <w:rPr>
          <w:rFonts w:cs="Arial"/>
        </w:rPr>
        <w:t>.</w:t>
      </w:r>
    </w:p>
    <w:p w14:paraId="6C9267B2" w14:textId="73898C20" w:rsidR="004235C6" w:rsidRPr="00074E91" w:rsidRDefault="004235C6" w:rsidP="004235C6">
      <w:pPr>
        <w:rPr>
          <w:rFonts w:cs="Arial"/>
        </w:rPr>
      </w:pPr>
      <w:r w:rsidRPr="00074E91">
        <w:rPr>
          <w:rFonts w:cs="Arial"/>
        </w:rPr>
        <w:t>No obstante, no puede identificarse con claridad qué cambio se ha generado en la población atendida ni cómo este incide en su bienestar tras la intervención del Programa presupuestario. Lo anterior se debe a que la población potencial y objetivo estimada en 133,430 alumnos de educación superior es inconsistente, al representar solo una fracción de la población identificada en el Pp E053 “Servicios de Educación Superior y Posgrados de Calidad”, lo que evidencia limitaciones en su delimitación y articulación.</w:t>
      </w:r>
    </w:p>
    <w:p w14:paraId="71B89F36" w14:textId="47A1110C" w:rsidR="004235C6" w:rsidRPr="00074E91" w:rsidRDefault="004235C6" w:rsidP="004235C6">
      <w:pPr>
        <w:rPr>
          <w:rFonts w:cs="Arial"/>
        </w:rPr>
      </w:pPr>
      <w:r w:rsidRPr="00074E91">
        <w:rPr>
          <w:rFonts w:cs="Arial"/>
        </w:rPr>
        <w:t>Adicionalmente, la información disponible no cumple con los criterios mínimos para su análisis, ya que no integra de manera completa las características de la población atendida ni del tipo de bienes o servicios otorgados; tampoco se encuentra debidamente sistematizada, carece de mecanismos documentados para su depuración y actualización, y no incorpora una clave única que permita dar seguimiento a los beneficiarios en el tiempo. En consecuencia, no es posible establecer una relación causal verificable entre la intervención del programa y cambios en el bienestar de la población atendida, ni medir de forma objetiva sus resultados o efectos.</w:t>
      </w:r>
    </w:p>
    <w:p w14:paraId="2FC0F153" w14:textId="77777777" w:rsidR="003F6330" w:rsidRPr="00074E91" w:rsidRDefault="003F6330" w:rsidP="00190ACD">
      <w:pPr>
        <w:pStyle w:val="Prrafodelista"/>
        <w:numPr>
          <w:ilvl w:val="0"/>
          <w:numId w:val="26"/>
        </w:numPr>
        <w:spacing w:after="0" w:line="360" w:lineRule="auto"/>
        <w:rPr>
          <w:rFonts w:cs="Arial"/>
          <w:b/>
        </w:rPr>
      </w:pPr>
      <w:r w:rsidRPr="00074E91">
        <w:rPr>
          <w:rFonts w:cs="Arial"/>
          <w:b/>
        </w:rPr>
        <w:t>Transparencia y rendición de cuentas</w:t>
      </w:r>
    </w:p>
    <w:p w14:paraId="17F6D98B" w14:textId="77777777" w:rsidR="003F6330" w:rsidRPr="00074E91" w:rsidRDefault="003F6330" w:rsidP="003F6330">
      <w:pPr>
        <w:spacing w:after="0" w:line="240" w:lineRule="auto"/>
        <w:rPr>
          <w:rFonts w:cs="Arial"/>
        </w:rPr>
      </w:pPr>
    </w:p>
    <w:p w14:paraId="74045B8C" w14:textId="77777777" w:rsidR="003F6330" w:rsidRPr="00074E91" w:rsidRDefault="003F6330" w:rsidP="00190ACD">
      <w:pPr>
        <w:pStyle w:val="Prrafodelista"/>
        <w:numPr>
          <w:ilvl w:val="0"/>
          <w:numId w:val="13"/>
        </w:numPr>
        <w:spacing w:line="360" w:lineRule="auto"/>
        <w:rPr>
          <w:rFonts w:cs="Arial"/>
          <w:b/>
        </w:rPr>
      </w:pPr>
      <w:bookmarkStart w:id="52" w:name="_Hlk215610153"/>
      <w:r w:rsidRPr="00074E91">
        <w:rPr>
          <w:rFonts w:cs="Arial"/>
          <w:b/>
        </w:rPr>
        <w:t>¿El Pp cuenta con mecanismos de transparencia y rendición de cuentas a través de los cuales pone a disposición del público la información de, por lo menos, los temas que a continuación se señalan?</w:t>
      </w:r>
    </w:p>
    <w:p w14:paraId="6638F096" w14:textId="77777777" w:rsidR="003F6330" w:rsidRPr="00074E91" w:rsidRDefault="003F6330" w:rsidP="003F6330">
      <w:pPr>
        <w:spacing w:before="240" w:after="120"/>
        <w:rPr>
          <w:rFonts w:cs="Arial"/>
          <w:b/>
          <w:u w:val="single"/>
        </w:rPr>
      </w:pPr>
      <w:r w:rsidRPr="00074E91">
        <w:rPr>
          <w:rFonts w:cs="Arial"/>
          <w:b/>
          <w:u w:val="single"/>
        </w:rPr>
        <w:t>Criterios de valoración:</w:t>
      </w:r>
    </w:p>
    <w:p w14:paraId="31728588" w14:textId="77777777" w:rsidR="003F6330" w:rsidRPr="00074E91" w:rsidRDefault="003F6330" w:rsidP="00190ACD">
      <w:pPr>
        <w:pStyle w:val="Prrafodelista"/>
        <w:numPr>
          <w:ilvl w:val="0"/>
          <w:numId w:val="39"/>
        </w:numPr>
        <w:spacing w:line="360" w:lineRule="auto"/>
        <w:rPr>
          <w:rFonts w:cs="Arial"/>
        </w:rPr>
      </w:pPr>
      <w:r w:rsidRPr="00074E91">
        <w:rPr>
          <w:rFonts w:cs="Arial"/>
        </w:rPr>
        <w:t>Los documentos normativos y/u operativos del Pp.</w:t>
      </w:r>
    </w:p>
    <w:p w14:paraId="1179807C" w14:textId="77777777" w:rsidR="003F6330" w:rsidRPr="00074E91" w:rsidRDefault="003F6330" w:rsidP="00190ACD">
      <w:pPr>
        <w:pStyle w:val="Prrafodelista"/>
        <w:numPr>
          <w:ilvl w:val="0"/>
          <w:numId w:val="39"/>
        </w:numPr>
        <w:spacing w:line="360" w:lineRule="auto"/>
        <w:rPr>
          <w:rFonts w:cs="Arial"/>
        </w:rPr>
      </w:pPr>
      <w:r w:rsidRPr="00074E91">
        <w:rPr>
          <w:rFonts w:cs="Arial"/>
        </w:rPr>
        <w:t>La información financiera sobre el presupuesto asignado, así como los informes del ejercicio trimestral del gasto.</w:t>
      </w:r>
    </w:p>
    <w:p w14:paraId="7D42D2DC" w14:textId="77777777" w:rsidR="003F6330" w:rsidRPr="00074E91" w:rsidRDefault="003F6330" w:rsidP="00190ACD">
      <w:pPr>
        <w:pStyle w:val="Prrafodelista"/>
        <w:numPr>
          <w:ilvl w:val="0"/>
          <w:numId w:val="39"/>
        </w:numPr>
        <w:spacing w:line="360" w:lineRule="auto"/>
        <w:rPr>
          <w:rFonts w:cs="Arial"/>
        </w:rPr>
      </w:pPr>
      <w:r w:rsidRPr="00074E91">
        <w:rPr>
          <w:rFonts w:cs="Arial"/>
        </w:rPr>
        <w:t>Los indicadores que permitan rendir cuenta de sus objetivos y resultados, así como las evaluaciones, estudios y encuestas financiados con recursos públicos.</w:t>
      </w:r>
    </w:p>
    <w:p w14:paraId="07A03C82" w14:textId="77777777" w:rsidR="003F6330" w:rsidRPr="00074E91" w:rsidRDefault="003F6330" w:rsidP="00190ACD">
      <w:pPr>
        <w:pStyle w:val="Prrafodelista"/>
        <w:numPr>
          <w:ilvl w:val="0"/>
          <w:numId w:val="39"/>
        </w:numPr>
        <w:spacing w:line="360" w:lineRule="auto"/>
        <w:rPr>
          <w:rFonts w:cs="Arial"/>
        </w:rPr>
      </w:pPr>
      <w:r w:rsidRPr="00074E91">
        <w:rPr>
          <w:rFonts w:cs="Arial"/>
        </w:rPr>
        <w:t>Listado de personas físicas o morales a quienes se les asigne recursos públicos.</w:t>
      </w:r>
    </w:p>
    <w:p w14:paraId="293E00FF" w14:textId="06DC11C3" w:rsidR="003F6330" w:rsidRPr="00074E91" w:rsidRDefault="003F6330" w:rsidP="003F6330">
      <w:pPr>
        <w:spacing w:before="240" w:after="120"/>
        <w:rPr>
          <w:rFonts w:cs="Arial"/>
          <w:b/>
          <w:u w:val="single"/>
        </w:rPr>
      </w:pPr>
      <w:r w:rsidRPr="00074E91">
        <w:rPr>
          <w:rFonts w:cs="Arial"/>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713"/>
        <w:gridCol w:w="7524"/>
      </w:tblGrid>
      <w:tr w:rsidR="003F6330" w:rsidRPr="00074E91" w14:paraId="37A61226" w14:textId="77777777" w:rsidTr="00687562">
        <w:trPr>
          <w:trHeight w:val="340"/>
          <w:tblHeader/>
          <w:jc w:val="right"/>
        </w:trPr>
        <w:tc>
          <w:tcPr>
            <w:tcW w:w="433" w:type="pct"/>
            <w:vMerge w:val="restart"/>
            <w:shd w:val="clear" w:color="auto" w:fill="7F7F7F" w:themeFill="text1" w:themeFillTint="80"/>
            <w:vAlign w:val="center"/>
          </w:tcPr>
          <w:p w14:paraId="4AB91233" w14:textId="77777777" w:rsidR="003F6330" w:rsidRPr="00074E91" w:rsidRDefault="003F633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074E91">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38FC0705" w14:textId="77777777" w:rsidR="003F6330" w:rsidRPr="00074E91" w:rsidRDefault="003F633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074E91">
              <w:rPr>
                <w:rFonts w:eastAsia="Times" w:cs="Arial"/>
                <w:b/>
                <w:iCs/>
                <w:color w:val="FFFFFF" w:themeColor="background1"/>
                <w:szCs w:val="20"/>
                <w:lang w:eastAsia="es-MX"/>
              </w:rPr>
              <w:t>Criterios</w:t>
            </w:r>
          </w:p>
        </w:tc>
      </w:tr>
      <w:tr w:rsidR="003F6330" w:rsidRPr="00074E91" w14:paraId="20E5D0F3" w14:textId="77777777" w:rsidTr="00687562">
        <w:trPr>
          <w:jc w:val="right"/>
        </w:trPr>
        <w:tc>
          <w:tcPr>
            <w:tcW w:w="433" w:type="pct"/>
            <w:vMerge/>
            <w:vAlign w:val="center"/>
          </w:tcPr>
          <w:p w14:paraId="791312A5" w14:textId="77777777" w:rsidR="003F6330" w:rsidRPr="00074E91" w:rsidRDefault="003F6330"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6BBF31C9" w14:textId="77777777" w:rsidR="003F6330" w:rsidRPr="00074E91" w:rsidRDefault="003F6330" w:rsidP="00FC66EE">
            <w:pPr>
              <w:spacing w:after="0" w:line="240" w:lineRule="atLeast"/>
              <w:jc w:val="left"/>
              <w:rPr>
                <w:rFonts w:eastAsia="Calibri" w:cs="Arial"/>
                <w:szCs w:val="20"/>
                <w:lang w:eastAsia="es-MX"/>
              </w:rPr>
            </w:pPr>
            <w:r w:rsidRPr="00074E91">
              <w:rPr>
                <w:rFonts w:eastAsia="Calibri" w:cs="Arial"/>
                <w:szCs w:val="20"/>
                <w:lang w:eastAsia="es-MX"/>
              </w:rPr>
              <w:t>La información cuenta con:</w:t>
            </w:r>
          </w:p>
        </w:tc>
      </w:tr>
      <w:tr w:rsidR="003F6330" w:rsidRPr="00074E91" w14:paraId="37F6C0CC" w14:textId="77777777" w:rsidTr="0064462E">
        <w:trPr>
          <w:jc w:val="right"/>
        </w:trPr>
        <w:tc>
          <w:tcPr>
            <w:tcW w:w="433" w:type="pct"/>
            <w:vAlign w:val="center"/>
          </w:tcPr>
          <w:p w14:paraId="2B8DC788" w14:textId="226418DA" w:rsidR="003F6330" w:rsidRPr="00074E91" w:rsidRDefault="00AB2A80"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sidRPr="00074E91">
              <w:rPr>
                <w:rFonts w:eastAsia="Calibri" w:cs="Arial"/>
                <w:szCs w:val="20"/>
                <w:lang w:eastAsia="es-MX"/>
              </w:rPr>
              <w:t>1</w:t>
            </w:r>
          </w:p>
        </w:tc>
        <w:tc>
          <w:tcPr>
            <w:tcW w:w="4567" w:type="pct"/>
            <w:vAlign w:val="center"/>
          </w:tcPr>
          <w:p w14:paraId="792C6A4B" w14:textId="77777777" w:rsidR="003F6330" w:rsidRPr="00074E91" w:rsidRDefault="0064462E" w:rsidP="0064462E">
            <w:pPr>
              <w:numPr>
                <w:ilvl w:val="0"/>
                <w:numId w:val="1"/>
              </w:numPr>
              <w:spacing w:after="0" w:line="240" w:lineRule="atLeast"/>
              <w:jc w:val="left"/>
              <w:rPr>
                <w:rFonts w:eastAsia="Calibri" w:cs="Arial"/>
                <w:szCs w:val="20"/>
                <w:lang w:eastAsia="es-MX"/>
              </w:rPr>
            </w:pPr>
            <w:r w:rsidRPr="00074E91">
              <w:rPr>
                <w:rFonts w:eastAsia="Calibri" w:cs="Arial"/>
                <w:szCs w:val="20"/>
                <w:lang w:eastAsia="es-MX"/>
              </w:rPr>
              <w:t xml:space="preserve">Tres de los criterios de valoración. </w:t>
            </w:r>
          </w:p>
        </w:tc>
      </w:tr>
    </w:tbl>
    <w:p w14:paraId="7762E5F6" w14:textId="07E24761" w:rsidR="004235C6" w:rsidRPr="00074E91" w:rsidRDefault="00687562" w:rsidP="003B4EED">
      <w:pPr>
        <w:spacing w:before="240" w:after="120"/>
        <w:rPr>
          <w:rFonts w:cs="Arial"/>
        </w:rPr>
      </w:pPr>
      <w:r w:rsidRPr="00074E91">
        <w:rPr>
          <w:rFonts w:cs="Arial"/>
          <w:b/>
          <w:u w:val="single"/>
        </w:rPr>
        <w:lastRenderedPageBreak/>
        <w:t>Justificación:</w:t>
      </w:r>
      <w:r w:rsidR="003B4EED" w:rsidRPr="003B4EED">
        <w:rPr>
          <w:rFonts w:cs="Arial"/>
          <w:bCs/>
        </w:rPr>
        <w:t xml:space="preserve"> </w:t>
      </w:r>
      <w:r w:rsidR="004235C6" w:rsidRPr="00074E91">
        <w:rPr>
          <w:rFonts w:cs="Arial"/>
        </w:rPr>
        <w:t>La UR cuenta con mecanismos formales de transparencia y rendición de cuentas que cumplen con los criterios establecidos, al garantizar el acceso público a información normativa, operativa, financiera y de desempeño. A través de su portal institucional, se difunde la normatividad vigente (reglamentos y código de conducta), lo que permite conocer claramente los procesos y servicios educativos.</w:t>
      </w:r>
    </w:p>
    <w:p w14:paraId="7BED5DFE" w14:textId="0B753E15" w:rsidR="004235C6" w:rsidRPr="00074E91" w:rsidRDefault="004235C6" w:rsidP="004235C6">
      <w:pPr>
        <w:rPr>
          <w:rFonts w:cs="Arial"/>
        </w:rPr>
      </w:pPr>
      <w:r w:rsidRPr="00074E91">
        <w:rPr>
          <w:rFonts w:cs="Arial"/>
        </w:rPr>
        <w:t>En materia financiera, se publican de forma periódica estados financieros y reportes del gasto, además de contar con acceso a la Plataforma Nacional de Transparencia (PNT) y al SIPOT para consulta ciudadana. Asimismo, los instrumentos de planeación y evaluación, como el PIDE, aseguran el seguimiento de objetivos, metas y resultados.</w:t>
      </w:r>
    </w:p>
    <w:p w14:paraId="7DD99D16" w14:textId="1AEA9454" w:rsidR="004235C6" w:rsidRPr="00074E91" w:rsidRDefault="004235C6" w:rsidP="004235C6">
      <w:pPr>
        <w:rPr>
          <w:rFonts w:cs="Arial"/>
        </w:rPr>
      </w:pPr>
      <w:r w:rsidRPr="00074E91">
        <w:rPr>
          <w:rFonts w:cs="Arial"/>
        </w:rPr>
        <w:t>También se observa difusión de apoyos y becas, así como acceso a padrones y datos abiertos, reforzando la transparencia sobre el uso de recursos públicos. De manera complementaria, el apartado de Contraloría Social fortalece la participación ciudadana y el seguimiento de los recursos.</w:t>
      </w:r>
    </w:p>
    <w:p w14:paraId="7CF15E9C" w14:textId="199FE56E" w:rsidR="002C2271" w:rsidRPr="00074E91" w:rsidRDefault="004235C6" w:rsidP="004235C6">
      <w:pPr>
        <w:rPr>
          <w:rFonts w:cs="Arial"/>
        </w:rPr>
      </w:pPr>
      <w:r w:rsidRPr="00074E91">
        <w:rPr>
          <w:rFonts w:cs="Arial"/>
        </w:rPr>
        <w:t>En conjunto, este andamiaje institucional garantiza principios de publicidad, accesibilidad, verificabilidad, oportunidad y claridad, consolidando prácticas adecuadas de transparencia y rendición de cuentas.</w:t>
      </w:r>
    </w:p>
    <w:p w14:paraId="4226632A" w14:textId="7E39F325" w:rsidR="004C7FC9" w:rsidRPr="00074E91" w:rsidRDefault="009935BA" w:rsidP="009935BA">
      <w:pPr>
        <w:rPr>
          <w:rFonts w:cs="Arial"/>
        </w:rPr>
      </w:pPr>
      <w:r w:rsidRPr="00074E91">
        <w:rPr>
          <w:rFonts w:cs="Arial"/>
        </w:rPr>
        <w:t>No obstante, la información presentada no es consistente con la publicada en el Tomo IV de la LIPESS, lo que impide su corroboración y resta certeza a los mecanismos de transparencia y rendición de cuentas. En este sentido, no es posible verificar de manera congruente los documentos normativos y operativos del Pp, la información financiera relativa al presupuesto asignado y los informes trimestrales del ejercicio del gasto, ni los indicadores de desempeño que permitan dar cuenta de sus objetivos y resultados, así como las evaluaciones, estudios y encuestas financiados con recursos públicos. Esta falta de consistencia limita la trazabilidad y confiabilidad de la información reportada.</w:t>
      </w:r>
    </w:p>
    <w:p w14:paraId="52C78154" w14:textId="77777777" w:rsidR="003F6330" w:rsidRPr="00074E91" w:rsidRDefault="003F6330" w:rsidP="00190ACD">
      <w:pPr>
        <w:pStyle w:val="Prrafodelista"/>
        <w:numPr>
          <w:ilvl w:val="0"/>
          <w:numId w:val="13"/>
        </w:numPr>
        <w:spacing w:line="360" w:lineRule="auto"/>
        <w:rPr>
          <w:rFonts w:cs="Arial"/>
          <w:b/>
        </w:rPr>
      </w:pPr>
      <w:r w:rsidRPr="00074E91">
        <w:rPr>
          <w:rFonts w:cs="Arial"/>
          <w:b/>
        </w:rPr>
        <w:t>¿El Pp cuenta con mecanismos para fomentar los principios de gobierno abierto, la participación ciudadana, la accesibilidad y la innovación tecnológica?</w:t>
      </w:r>
    </w:p>
    <w:p w14:paraId="4AB95AB1" w14:textId="77777777" w:rsidR="003F6330" w:rsidRPr="00074E91" w:rsidRDefault="003F6330" w:rsidP="003F6330">
      <w:pPr>
        <w:spacing w:before="240" w:after="120"/>
        <w:rPr>
          <w:rFonts w:cs="Arial"/>
          <w:b/>
          <w:u w:val="single"/>
        </w:rPr>
      </w:pPr>
      <w:r w:rsidRPr="00074E91">
        <w:rPr>
          <w:rFonts w:cs="Arial"/>
          <w:b/>
          <w:u w:val="single"/>
        </w:rPr>
        <w:t>Criterios de valoración:</w:t>
      </w:r>
    </w:p>
    <w:p w14:paraId="43D916B6" w14:textId="77777777" w:rsidR="003D61BD" w:rsidRPr="00074E91" w:rsidRDefault="003D61BD" w:rsidP="00190ACD">
      <w:pPr>
        <w:pStyle w:val="Prrafodelista"/>
        <w:numPr>
          <w:ilvl w:val="0"/>
          <w:numId w:val="41"/>
        </w:numPr>
        <w:spacing w:line="360" w:lineRule="auto"/>
        <w:rPr>
          <w:rFonts w:cs="Arial"/>
        </w:rPr>
      </w:pPr>
      <w:r w:rsidRPr="00074E91">
        <w:rPr>
          <w:rFonts w:cs="Arial"/>
        </w:rPr>
        <w:t xml:space="preserve">El Pp cuenta con procedimientos para recibir y dar trámite a las solicitudes de información. </w:t>
      </w:r>
    </w:p>
    <w:p w14:paraId="7A4918DC" w14:textId="77777777" w:rsidR="003D61BD" w:rsidRPr="00074E91" w:rsidRDefault="003D61BD" w:rsidP="00190ACD">
      <w:pPr>
        <w:pStyle w:val="Prrafodelista"/>
        <w:numPr>
          <w:ilvl w:val="0"/>
          <w:numId w:val="41"/>
        </w:numPr>
        <w:spacing w:line="360" w:lineRule="auto"/>
        <w:rPr>
          <w:rFonts w:cs="Arial"/>
        </w:rPr>
      </w:pPr>
      <w:r w:rsidRPr="00074E91">
        <w:rPr>
          <w:rFonts w:cs="Arial"/>
        </w:rPr>
        <w:t>El Pp establece mecanismos de participación ciudadana en procesos de toma de decisiones.</w:t>
      </w:r>
    </w:p>
    <w:p w14:paraId="614B9A78" w14:textId="77777777" w:rsidR="003D61BD" w:rsidRPr="00074E91" w:rsidRDefault="003D61BD" w:rsidP="00190ACD">
      <w:pPr>
        <w:pStyle w:val="Prrafodelista"/>
        <w:numPr>
          <w:ilvl w:val="0"/>
          <w:numId w:val="41"/>
        </w:numPr>
        <w:spacing w:line="360" w:lineRule="auto"/>
        <w:rPr>
          <w:rFonts w:cs="Arial"/>
        </w:rPr>
      </w:pPr>
      <w:r w:rsidRPr="00074E91">
        <w:rPr>
          <w:rFonts w:cs="Arial"/>
        </w:rPr>
        <w:t>El Pp promueve la generación, documentación y publicación de la información en formatos abiertos y accesibles.</w:t>
      </w:r>
    </w:p>
    <w:p w14:paraId="2C71D2D3" w14:textId="77777777" w:rsidR="003D61BD" w:rsidRPr="00074E91" w:rsidRDefault="003D61BD" w:rsidP="00190ACD">
      <w:pPr>
        <w:pStyle w:val="Prrafodelista"/>
        <w:numPr>
          <w:ilvl w:val="0"/>
          <w:numId w:val="41"/>
        </w:numPr>
        <w:spacing w:line="360" w:lineRule="auto"/>
        <w:rPr>
          <w:rFonts w:cs="Arial"/>
        </w:rPr>
      </w:pPr>
      <w:r w:rsidRPr="00074E91">
        <w:rPr>
          <w:rFonts w:cs="Arial"/>
        </w:rPr>
        <w:lastRenderedPageBreak/>
        <w:t>El Pp fomenta el uso de tecnologías de la información para garantizar la transparencia, el derecho de acceso a la información y su accesibilidad.</w:t>
      </w:r>
    </w:p>
    <w:p w14:paraId="25B1AB57" w14:textId="77777777" w:rsidR="003F6330" w:rsidRPr="00074E91" w:rsidRDefault="003F6330" w:rsidP="003F6330">
      <w:pPr>
        <w:spacing w:before="240" w:after="120"/>
        <w:rPr>
          <w:rFonts w:cs="Arial"/>
          <w:b/>
          <w:u w:val="single"/>
        </w:rPr>
      </w:pPr>
      <w:r w:rsidRPr="00074E91">
        <w:rPr>
          <w:rFonts w:cs="Arial"/>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713"/>
        <w:gridCol w:w="7524"/>
      </w:tblGrid>
      <w:tr w:rsidR="003F6330" w:rsidRPr="00074E91" w14:paraId="2D55A968" w14:textId="77777777" w:rsidTr="00687562">
        <w:trPr>
          <w:trHeight w:val="340"/>
          <w:tblHeader/>
          <w:jc w:val="right"/>
        </w:trPr>
        <w:tc>
          <w:tcPr>
            <w:tcW w:w="433" w:type="pct"/>
            <w:vMerge w:val="restart"/>
            <w:shd w:val="clear" w:color="auto" w:fill="7F7F7F" w:themeFill="text1" w:themeFillTint="80"/>
            <w:vAlign w:val="center"/>
          </w:tcPr>
          <w:p w14:paraId="2C06F569" w14:textId="77777777" w:rsidR="003F6330" w:rsidRPr="00074E91" w:rsidRDefault="003F633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074E91">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22017797" w14:textId="77777777" w:rsidR="003F6330" w:rsidRPr="00074E91" w:rsidRDefault="003F633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074E91">
              <w:rPr>
                <w:rFonts w:eastAsia="Times" w:cs="Arial"/>
                <w:b/>
                <w:iCs/>
                <w:color w:val="FFFFFF" w:themeColor="background1"/>
                <w:szCs w:val="20"/>
                <w:lang w:eastAsia="es-MX"/>
              </w:rPr>
              <w:t>Criterios</w:t>
            </w:r>
          </w:p>
        </w:tc>
      </w:tr>
      <w:tr w:rsidR="003F6330" w:rsidRPr="00074E91" w14:paraId="2B9F76D3" w14:textId="77777777" w:rsidTr="00687562">
        <w:trPr>
          <w:jc w:val="right"/>
        </w:trPr>
        <w:tc>
          <w:tcPr>
            <w:tcW w:w="433" w:type="pct"/>
            <w:vMerge/>
            <w:vAlign w:val="center"/>
          </w:tcPr>
          <w:p w14:paraId="4A50D48C" w14:textId="77777777" w:rsidR="003F6330" w:rsidRPr="00074E91" w:rsidRDefault="003F6330"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19F6C991" w14:textId="77777777" w:rsidR="003F6330" w:rsidRPr="00074E91" w:rsidRDefault="003F6330" w:rsidP="00FC66EE">
            <w:pPr>
              <w:spacing w:after="0" w:line="240" w:lineRule="atLeast"/>
              <w:jc w:val="left"/>
              <w:rPr>
                <w:rFonts w:eastAsia="Calibri" w:cs="Arial"/>
                <w:szCs w:val="20"/>
                <w:lang w:eastAsia="es-MX"/>
              </w:rPr>
            </w:pPr>
            <w:r w:rsidRPr="00074E91">
              <w:rPr>
                <w:rFonts w:eastAsia="Calibri" w:cs="Arial"/>
                <w:szCs w:val="20"/>
                <w:lang w:eastAsia="es-MX"/>
              </w:rPr>
              <w:t>La información cuenta con:</w:t>
            </w:r>
          </w:p>
        </w:tc>
      </w:tr>
      <w:tr w:rsidR="003F6330" w:rsidRPr="00074E91" w14:paraId="21014D4D" w14:textId="77777777" w:rsidTr="003112E7">
        <w:trPr>
          <w:jc w:val="right"/>
        </w:trPr>
        <w:tc>
          <w:tcPr>
            <w:tcW w:w="433" w:type="pct"/>
            <w:vAlign w:val="center"/>
          </w:tcPr>
          <w:p w14:paraId="1F9E4A81" w14:textId="77777777" w:rsidR="003F6330" w:rsidRPr="00074E91" w:rsidRDefault="003112E7"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sidRPr="00074E91">
              <w:rPr>
                <w:rFonts w:eastAsia="Calibri" w:cs="Arial"/>
                <w:szCs w:val="20"/>
                <w:lang w:eastAsia="es-MX"/>
              </w:rPr>
              <w:t>3</w:t>
            </w:r>
          </w:p>
        </w:tc>
        <w:tc>
          <w:tcPr>
            <w:tcW w:w="4567" w:type="pct"/>
            <w:vAlign w:val="center"/>
          </w:tcPr>
          <w:p w14:paraId="169D0624" w14:textId="77777777" w:rsidR="003F6330" w:rsidRPr="00074E91" w:rsidRDefault="003112E7" w:rsidP="003112E7">
            <w:pPr>
              <w:numPr>
                <w:ilvl w:val="0"/>
                <w:numId w:val="1"/>
              </w:numPr>
              <w:spacing w:after="0" w:line="240" w:lineRule="atLeast"/>
              <w:jc w:val="left"/>
              <w:rPr>
                <w:rFonts w:eastAsia="Calibri" w:cs="Arial"/>
                <w:szCs w:val="20"/>
                <w:lang w:eastAsia="es-MX"/>
              </w:rPr>
            </w:pPr>
            <w:r w:rsidRPr="00074E91">
              <w:rPr>
                <w:rFonts w:eastAsia="Calibri" w:cs="Arial"/>
                <w:szCs w:val="20"/>
                <w:lang w:eastAsia="es-MX"/>
              </w:rPr>
              <w:t xml:space="preserve">Tres de los criterios de valoración. </w:t>
            </w:r>
          </w:p>
        </w:tc>
      </w:tr>
    </w:tbl>
    <w:p w14:paraId="0C0DF521" w14:textId="3485E61F" w:rsidR="00AB2A80" w:rsidRPr="00074E91" w:rsidRDefault="00687562" w:rsidP="003B4EED">
      <w:pPr>
        <w:spacing w:before="240" w:after="120"/>
        <w:rPr>
          <w:rFonts w:cs="Arial"/>
        </w:rPr>
      </w:pPr>
      <w:r w:rsidRPr="00074E91">
        <w:rPr>
          <w:rFonts w:cs="Arial"/>
          <w:b/>
          <w:u w:val="single"/>
        </w:rPr>
        <w:t>Justificación:</w:t>
      </w:r>
      <w:r w:rsidR="003B4EED" w:rsidRPr="003B4EED">
        <w:rPr>
          <w:rFonts w:cs="Arial"/>
          <w:bCs/>
        </w:rPr>
        <w:t xml:space="preserve"> </w:t>
      </w:r>
      <w:r w:rsidR="00AB2A80" w:rsidRPr="00074E91">
        <w:rPr>
          <w:rFonts w:cs="Arial"/>
        </w:rPr>
        <w:t>La UR del Pp E053 “Servicios de Educación Superior y Posgrado de Calidad” comenta que el programa opera con mecanismos formales y públicos que garantizan principios de gobierno abierto, transparencia, participación ciudadana, accesibilidad e innovación tecnológica. Señala que se cuenta con canales institucionales para el acceso a la información mediante la Plataforma Nacional de Transparencia (PNT) y SIPOT, así como con un portal que centraliza la información normativa, financiera y programática.</w:t>
      </w:r>
    </w:p>
    <w:p w14:paraId="1D498703" w14:textId="5866D9C9" w:rsidR="00AB2A80" w:rsidRPr="00074E91" w:rsidRDefault="00AB2A80" w:rsidP="00AB2A80">
      <w:pPr>
        <w:rPr>
          <w:rFonts w:cs="Arial"/>
        </w:rPr>
      </w:pPr>
      <w:r w:rsidRPr="00074E91">
        <w:rPr>
          <w:rFonts w:cs="Arial"/>
        </w:rPr>
        <w:t>Asimismo, destaca la existencia de espacios formales de participación, como el Consejo de Vinculación y Pertinencia, que permite incorporar la opinión de actores externos en la toma de decisiones. También refiere la publicación periódica de avances, indicadores y resultados a través del esquema PBR/SED, así como su integración en el sistema estatal de datos abiertos.</w:t>
      </w:r>
    </w:p>
    <w:p w14:paraId="71BA63DD" w14:textId="77777777" w:rsidR="004C7FC9" w:rsidRPr="00074E91" w:rsidRDefault="00AB2A80" w:rsidP="00AB2A80">
      <w:pPr>
        <w:rPr>
          <w:rFonts w:cs="Arial"/>
        </w:rPr>
      </w:pPr>
      <w:r w:rsidRPr="00074E91">
        <w:rPr>
          <w:rFonts w:cs="Arial"/>
        </w:rPr>
        <w:t>Finalmente, indica que el uso de plataformas tecnológicas para servicios académicos y difusión de información fortalece la accesibilidad y eficiencia, concluyendo que estos elementos, en conjunto, acreditan una práctica institucional alineada con los principios de transparencia, rendición de cuentas e innovación en la gestión pública.</w:t>
      </w:r>
    </w:p>
    <w:p w14:paraId="10B30DBD" w14:textId="7F555A5E" w:rsidR="002C2271" w:rsidRPr="00074E91" w:rsidRDefault="004C7FC9" w:rsidP="00AB2A80">
      <w:pPr>
        <w:rPr>
          <w:rFonts w:cs="Arial"/>
        </w:rPr>
      </w:pPr>
      <w:r w:rsidRPr="00074E91">
        <w:rPr>
          <w:rFonts w:cs="Arial"/>
        </w:rPr>
        <w:t>“No obstante, la información presentada por la UR del Pp E053 no es consistente con la publicada en el Tomo IV de la LIPESS, lo que impide corroborar su veracidad y limita la certeza sobre el cumplimiento de los principios de transparencia y gobierno abierto. En consecuencia, no es posible asegurar que el programa cuente efectivamente con procedimientos claros para recibir y dar trámite a las solicitudes de información, que establezca mecanismos de participación ciudadana en la toma de decisiones, que promueva la generación, documentación y publicación de información en formatos abiertos y accesibles, ni que fomente de manera verificable el uso de tecnologías de la información para garantizar la transparencia y el derecho de acceso a la información</w:t>
      </w:r>
      <w:r w:rsidR="002C2271" w:rsidRPr="00074E91">
        <w:rPr>
          <w:rFonts w:cs="Arial"/>
        </w:rPr>
        <w:t>.</w:t>
      </w:r>
    </w:p>
    <w:bookmarkEnd w:id="52"/>
    <w:p w14:paraId="4022D22B" w14:textId="77777777" w:rsidR="003D61BD" w:rsidRPr="00074E91" w:rsidRDefault="003D61BD" w:rsidP="00190ACD">
      <w:pPr>
        <w:pStyle w:val="Prrafodelista"/>
        <w:numPr>
          <w:ilvl w:val="0"/>
          <w:numId w:val="26"/>
        </w:numPr>
        <w:spacing w:after="0" w:line="360" w:lineRule="auto"/>
        <w:rPr>
          <w:rFonts w:cs="Arial"/>
          <w:b/>
        </w:rPr>
      </w:pPr>
      <w:r w:rsidRPr="00074E91">
        <w:rPr>
          <w:rFonts w:cs="Arial"/>
          <w:b/>
        </w:rPr>
        <w:t>Presupuesto</w:t>
      </w:r>
    </w:p>
    <w:p w14:paraId="12E5928A" w14:textId="77777777" w:rsidR="003D61BD" w:rsidRPr="00074E91" w:rsidRDefault="003D61BD" w:rsidP="003D61BD">
      <w:pPr>
        <w:spacing w:after="0" w:line="240" w:lineRule="auto"/>
        <w:rPr>
          <w:rFonts w:cs="Arial"/>
        </w:rPr>
      </w:pPr>
    </w:p>
    <w:p w14:paraId="0C338696" w14:textId="77777777" w:rsidR="003D61BD" w:rsidRPr="00074E91" w:rsidRDefault="003D61BD" w:rsidP="00190ACD">
      <w:pPr>
        <w:pStyle w:val="Prrafodelista"/>
        <w:numPr>
          <w:ilvl w:val="0"/>
          <w:numId w:val="13"/>
        </w:numPr>
        <w:spacing w:line="360" w:lineRule="auto"/>
        <w:rPr>
          <w:rFonts w:cs="Arial"/>
          <w:b/>
        </w:rPr>
      </w:pPr>
      <w:r w:rsidRPr="00074E91">
        <w:rPr>
          <w:rFonts w:cs="Arial"/>
          <w:b/>
        </w:rPr>
        <w:t>¿El Pp identifica y cuantifica los gastos que se realizan para generar los bienes y/o los servicios que ofrece, y cumplen con los siguientes criterios?</w:t>
      </w:r>
    </w:p>
    <w:p w14:paraId="2FBEE2CA" w14:textId="77777777" w:rsidR="003D61BD" w:rsidRPr="00074E91" w:rsidRDefault="003D61BD" w:rsidP="003D61BD">
      <w:pPr>
        <w:spacing w:before="240" w:after="120"/>
        <w:rPr>
          <w:rFonts w:cs="Arial"/>
          <w:b/>
          <w:u w:val="single"/>
        </w:rPr>
      </w:pPr>
      <w:r w:rsidRPr="00074E91">
        <w:rPr>
          <w:rFonts w:cs="Arial"/>
          <w:b/>
          <w:u w:val="single"/>
        </w:rPr>
        <w:lastRenderedPageBreak/>
        <w:t>Criterios de valoración:</w:t>
      </w:r>
    </w:p>
    <w:p w14:paraId="490F1EFF" w14:textId="77777777" w:rsidR="003D61BD" w:rsidRPr="00074E91" w:rsidRDefault="003D61BD" w:rsidP="00190ACD">
      <w:pPr>
        <w:pStyle w:val="Prrafodelista"/>
        <w:numPr>
          <w:ilvl w:val="0"/>
          <w:numId w:val="43"/>
        </w:numPr>
        <w:spacing w:line="360" w:lineRule="auto"/>
        <w:rPr>
          <w:rFonts w:cs="Arial"/>
        </w:rPr>
      </w:pPr>
      <w:r w:rsidRPr="00074E91">
        <w:rPr>
          <w:rFonts w:cs="Arial"/>
        </w:rPr>
        <w:t>Desglosa el presupuesto por capítulo de gasto y fuente de financiamiento.</w:t>
      </w:r>
    </w:p>
    <w:p w14:paraId="6424FEA4" w14:textId="77777777" w:rsidR="003D61BD" w:rsidRPr="00074E91" w:rsidRDefault="003D61BD" w:rsidP="00190ACD">
      <w:pPr>
        <w:pStyle w:val="Prrafodelista"/>
        <w:numPr>
          <w:ilvl w:val="0"/>
          <w:numId w:val="43"/>
        </w:numPr>
        <w:spacing w:line="360" w:lineRule="auto"/>
        <w:rPr>
          <w:rFonts w:cs="Arial"/>
        </w:rPr>
      </w:pPr>
      <w:r w:rsidRPr="00074E91">
        <w:rPr>
          <w:rFonts w:cs="Arial"/>
        </w:rPr>
        <w:t>Presenta estimaciones presupuestarias en el corto plazo.</w:t>
      </w:r>
    </w:p>
    <w:p w14:paraId="7A49C9E4" w14:textId="77777777" w:rsidR="003D61BD" w:rsidRPr="00074E91" w:rsidRDefault="003D61BD" w:rsidP="00190ACD">
      <w:pPr>
        <w:pStyle w:val="Prrafodelista"/>
        <w:numPr>
          <w:ilvl w:val="0"/>
          <w:numId w:val="43"/>
        </w:numPr>
        <w:spacing w:line="360" w:lineRule="auto"/>
        <w:rPr>
          <w:rFonts w:cs="Arial"/>
        </w:rPr>
      </w:pPr>
      <w:r w:rsidRPr="00074E91">
        <w:rPr>
          <w:rFonts w:cs="Arial"/>
        </w:rPr>
        <w:t>Estima el gasto unitario, como gastos totales/población atendida.</w:t>
      </w:r>
    </w:p>
    <w:p w14:paraId="7BD33ABE" w14:textId="77777777" w:rsidR="003D61BD" w:rsidRPr="00074E91" w:rsidRDefault="003D61BD" w:rsidP="00190ACD">
      <w:pPr>
        <w:pStyle w:val="Prrafodelista"/>
        <w:numPr>
          <w:ilvl w:val="0"/>
          <w:numId w:val="43"/>
        </w:numPr>
        <w:spacing w:line="360" w:lineRule="auto"/>
        <w:rPr>
          <w:rFonts w:cs="Arial"/>
        </w:rPr>
      </w:pPr>
      <w:r w:rsidRPr="00074E91">
        <w:rPr>
          <w:rFonts w:cs="Arial"/>
        </w:rPr>
        <w:t>Existe coherencia entre los capítulos de gasto y las características de las actividades que realiza y los bienes y/o servicios que entrega.</w:t>
      </w:r>
    </w:p>
    <w:p w14:paraId="7181823B" w14:textId="77777777" w:rsidR="003D61BD" w:rsidRPr="00074E91" w:rsidRDefault="003D61BD" w:rsidP="003D61BD">
      <w:pPr>
        <w:spacing w:before="240" w:after="120"/>
        <w:rPr>
          <w:rFonts w:cs="Arial"/>
          <w:b/>
          <w:u w:val="single"/>
        </w:rPr>
      </w:pPr>
      <w:r w:rsidRPr="00074E91">
        <w:rPr>
          <w:rFonts w:cs="Arial"/>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713"/>
        <w:gridCol w:w="7524"/>
      </w:tblGrid>
      <w:tr w:rsidR="003D61BD" w:rsidRPr="00074E91" w14:paraId="1DCBF52A" w14:textId="77777777" w:rsidTr="00687562">
        <w:trPr>
          <w:trHeight w:val="340"/>
          <w:tblHeader/>
          <w:jc w:val="right"/>
        </w:trPr>
        <w:tc>
          <w:tcPr>
            <w:tcW w:w="433" w:type="pct"/>
            <w:vMerge w:val="restart"/>
            <w:shd w:val="clear" w:color="auto" w:fill="7F7F7F" w:themeFill="text1" w:themeFillTint="80"/>
            <w:vAlign w:val="center"/>
          </w:tcPr>
          <w:p w14:paraId="106E1157" w14:textId="77777777" w:rsidR="003D61BD" w:rsidRPr="00074E91" w:rsidRDefault="003D61BD"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074E91">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699BEC7A" w14:textId="77777777" w:rsidR="003D61BD" w:rsidRPr="00074E91" w:rsidRDefault="003D61BD"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074E91">
              <w:rPr>
                <w:rFonts w:eastAsia="Times" w:cs="Arial"/>
                <w:b/>
                <w:iCs/>
                <w:color w:val="FFFFFF" w:themeColor="background1"/>
                <w:szCs w:val="20"/>
                <w:lang w:eastAsia="es-MX"/>
              </w:rPr>
              <w:t>Criterios</w:t>
            </w:r>
          </w:p>
        </w:tc>
      </w:tr>
      <w:tr w:rsidR="003D61BD" w:rsidRPr="00074E91" w14:paraId="2D07C8A7" w14:textId="77777777" w:rsidTr="00687562">
        <w:trPr>
          <w:jc w:val="right"/>
        </w:trPr>
        <w:tc>
          <w:tcPr>
            <w:tcW w:w="433" w:type="pct"/>
            <w:vMerge/>
            <w:vAlign w:val="center"/>
          </w:tcPr>
          <w:p w14:paraId="348914DD" w14:textId="77777777" w:rsidR="003D61BD" w:rsidRPr="00074E91" w:rsidRDefault="003D61BD"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09F23C81" w14:textId="77777777" w:rsidR="003D61BD" w:rsidRPr="00074E91" w:rsidRDefault="003D61BD" w:rsidP="00FC66EE">
            <w:pPr>
              <w:spacing w:after="0" w:line="240" w:lineRule="atLeast"/>
              <w:jc w:val="left"/>
              <w:rPr>
                <w:rFonts w:eastAsia="Calibri" w:cs="Arial"/>
                <w:szCs w:val="20"/>
                <w:lang w:eastAsia="es-MX"/>
              </w:rPr>
            </w:pPr>
            <w:r w:rsidRPr="00074E91">
              <w:rPr>
                <w:rFonts w:eastAsia="Calibri" w:cs="Arial"/>
                <w:szCs w:val="20"/>
                <w:lang w:eastAsia="es-MX"/>
              </w:rPr>
              <w:t>El Pp cuenta con:</w:t>
            </w:r>
          </w:p>
        </w:tc>
      </w:tr>
      <w:tr w:rsidR="003D61BD" w:rsidRPr="00074E91" w14:paraId="6A6C79AA" w14:textId="77777777" w:rsidTr="00687562">
        <w:trPr>
          <w:jc w:val="right"/>
        </w:trPr>
        <w:tc>
          <w:tcPr>
            <w:tcW w:w="433" w:type="pct"/>
            <w:vAlign w:val="center"/>
          </w:tcPr>
          <w:p w14:paraId="1EA97374" w14:textId="58E22B17" w:rsidR="003D61BD" w:rsidRPr="00074E91" w:rsidRDefault="0075251A"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sidRPr="00074E91">
              <w:rPr>
                <w:rFonts w:eastAsia="Calibri" w:cs="Arial"/>
                <w:szCs w:val="20"/>
                <w:lang w:eastAsia="es-MX"/>
              </w:rPr>
              <w:t>1</w:t>
            </w:r>
          </w:p>
        </w:tc>
        <w:tc>
          <w:tcPr>
            <w:tcW w:w="4567" w:type="pct"/>
            <w:vAlign w:val="center"/>
          </w:tcPr>
          <w:p w14:paraId="65BEF93D" w14:textId="78287083" w:rsidR="003D61BD" w:rsidRPr="00074E91" w:rsidRDefault="0075251A" w:rsidP="00FC66EE">
            <w:pPr>
              <w:numPr>
                <w:ilvl w:val="0"/>
                <w:numId w:val="1"/>
              </w:numPr>
              <w:spacing w:after="0" w:line="240" w:lineRule="atLeast"/>
              <w:ind w:left="442" w:hanging="357"/>
              <w:jc w:val="left"/>
              <w:rPr>
                <w:rFonts w:eastAsia="Calibri" w:cs="Arial"/>
                <w:szCs w:val="20"/>
                <w:lang w:eastAsia="es-MX"/>
              </w:rPr>
            </w:pPr>
            <w:r w:rsidRPr="00074E91">
              <w:rPr>
                <w:rFonts w:eastAsia="Calibri" w:cs="Arial"/>
                <w:b/>
                <w:szCs w:val="20"/>
                <w:lang w:eastAsia="es-MX"/>
              </w:rPr>
              <w:t>Uno</w:t>
            </w:r>
            <w:r w:rsidR="003E68FB" w:rsidRPr="00074E91">
              <w:rPr>
                <w:rFonts w:eastAsia="Calibri" w:cs="Arial"/>
                <w:b/>
                <w:szCs w:val="20"/>
                <w:lang w:eastAsia="es-MX"/>
              </w:rPr>
              <w:t xml:space="preserve"> </w:t>
            </w:r>
            <w:r w:rsidR="003E68FB" w:rsidRPr="00074E91">
              <w:rPr>
                <w:rFonts w:eastAsia="Calibri" w:cs="Arial"/>
                <w:bCs/>
                <w:szCs w:val="20"/>
                <w:lang w:eastAsia="es-MX"/>
              </w:rPr>
              <w:t>de los criterios de valoración.</w:t>
            </w:r>
          </w:p>
        </w:tc>
      </w:tr>
    </w:tbl>
    <w:p w14:paraId="44C78216" w14:textId="3B802CC1" w:rsidR="00603F7A" w:rsidRPr="00074E91" w:rsidRDefault="00687562" w:rsidP="003B4EED">
      <w:pPr>
        <w:spacing w:before="240" w:after="120"/>
        <w:rPr>
          <w:rFonts w:cs="Arial"/>
          <w:lang w:val="es-ES"/>
        </w:rPr>
      </w:pPr>
      <w:r w:rsidRPr="00074E91">
        <w:rPr>
          <w:rFonts w:cs="Arial"/>
          <w:b/>
          <w:u w:val="single"/>
        </w:rPr>
        <w:t>Justificación:</w:t>
      </w:r>
      <w:r w:rsidR="003B4EED" w:rsidRPr="003B4EED">
        <w:rPr>
          <w:rFonts w:cs="Arial"/>
          <w:bCs/>
        </w:rPr>
        <w:t xml:space="preserve"> </w:t>
      </w:r>
      <w:r w:rsidR="00603F7A" w:rsidRPr="00074E91">
        <w:rPr>
          <w:rFonts w:cs="Arial"/>
          <w:lang w:val="es-ES"/>
        </w:rPr>
        <w:t>La UR del Pp presenta evidencias que indican cumplimiento de los criterios de valoración en materia presupuestaria y de gestión, al contar con información desglosada del presupuesto por capítulo de gasto y fuente de financiamiento, misma que se encuentra publicada en portales oficiales, evaluada por el SEVAC con cumplimiento del 100% y reportada a instancias de fiscalización locales y federales conforme a la normatividad vigente. El presupuesto total asciende a $26,830,481.00, distribuido principalmente en Servicios personales por $21,625,522.00, Materiales y suministros por $878,244.00 y Servicios generales por $4,326,715.00, sin a</w:t>
      </w:r>
      <w:r w:rsidR="00EE00DE" w:rsidRPr="00074E91">
        <w:rPr>
          <w:rFonts w:cs="Arial"/>
          <w:lang w:val="es-ES"/>
        </w:rPr>
        <w:t>signaciones en otros capítulos.</w:t>
      </w:r>
    </w:p>
    <w:p w14:paraId="1D559501" w14:textId="2B450036" w:rsidR="00603F7A" w:rsidRPr="00074E91" w:rsidRDefault="00603F7A" w:rsidP="00603F7A">
      <w:pPr>
        <w:rPr>
          <w:rFonts w:cs="Arial"/>
          <w:lang w:val="es-ES"/>
        </w:rPr>
      </w:pPr>
      <w:r w:rsidRPr="00074E91">
        <w:rPr>
          <w:rFonts w:cs="Arial"/>
          <w:lang w:val="es-ES"/>
        </w:rPr>
        <w:t>Asimismo, se identifica que existen mecanismos de planeación presupuestaria a corto, mediano y largo plazo, a través del Plan de Trabajo Anual, en el cual se establecen programas, metas, líneas de acción e indicadores por cada unidad responsable, permitiendo dar seguimiento y evaluar el cumplimiento de</w:t>
      </w:r>
      <w:r w:rsidR="00EE00DE" w:rsidRPr="00074E91">
        <w:rPr>
          <w:rFonts w:cs="Arial"/>
          <w:lang w:val="es-ES"/>
        </w:rPr>
        <w:t xml:space="preserve"> objetivos de manera periódica.</w:t>
      </w:r>
    </w:p>
    <w:p w14:paraId="3B7FC1EA" w14:textId="77777777" w:rsidR="00603F7A" w:rsidRPr="00074E91" w:rsidRDefault="00603F7A" w:rsidP="00603F7A">
      <w:pPr>
        <w:rPr>
          <w:rFonts w:cs="Arial"/>
          <w:lang w:val="es-ES"/>
        </w:rPr>
      </w:pPr>
      <w:r w:rsidRPr="00074E91">
        <w:rPr>
          <w:rFonts w:cs="Arial"/>
          <w:lang w:val="es-ES"/>
        </w:rPr>
        <w:t>También se evidencia que el gasto se cuantifica en función de la población atendida, mediante reportes trimestrales de matrícula y ejercicio del gasto, lo que permite vincular los recursos con la operación del programa. Finalmente, se observa coherencia entre los capítulos de gasto y las actividades del programa, ya que las erogaciones se alinean al Clasificador por Objeto del Gasto y se validan mediante procesos formales de requisición, consolidando una adecuada gestión y control del presupuesto.</w:t>
      </w:r>
    </w:p>
    <w:p w14:paraId="6EDAD0BA" w14:textId="70531253" w:rsidR="00603F7A" w:rsidRPr="00074E91" w:rsidRDefault="00EE00DE" w:rsidP="003E68FB">
      <w:pPr>
        <w:rPr>
          <w:rFonts w:cs="Arial"/>
          <w:lang w:val="es-ES"/>
        </w:rPr>
      </w:pPr>
      <w:r w:rsidRPr="00074E91">
        <w:rPr>
          <w:rFonts w:cs="Arial"/>
          <w:lang w:val="es-ES"/>
        </w:rPr>
        <w:t xml:space="preserve">No obstante, la información presentada no es consistente con la publicada en el Tomo IV de la LIPESS, donde se establece un presupuesto total de $33,082,898, lo que difiere del monto reportado por la UR y limita la confiabilidad de los datos. En consecuencia, no es posible asegurar que el Pp identifique y cuantifique adecuadamente los gastos necesarios para la generación de los bienes y/o servicios que ofrece, ni que cumpla de manera verificable con los criterios de valoración </w:t>
      </w:r>
      <w:r w:rsidRPr="00074E91">
        <w:rPr>
          <w:rFonts w:cs="Arial"/>
          <w:lang w:val="es-ES"/>
        </w:rPr>
        <w:lastRenderedPageBreak/>
        <w:t>establecidos. Esta inconsistencia impide confirmar que el presupuesto se encuentre correctamente desglosado por capítulo de gasto y fuente de financiamiento, que existan estimaciones presupuestarias de corto plazo, que se calcule el gasto unitario con base en la población atendida y que exista coherencia entre los capítulos de gasto y las actividades, bienes y servicios del programa.</w:t>
      </w:r>
    </w:p>
    <w:p w14:paraId="371110FE" w14:textId="77777777" w:rsidR="007872B7" w:rsidRPr="00074E91" w:rsidRDefault="007872B7" w:rsidP="00190ACD">
      <w:pPr>
        <w:pStyle w:val="Prrafodelista"/>
        <w:numPr>
          <w:ilvl w:val="0"/>
          <w:numId w:val="26"/>
        </w:numPr>
        <w:spacing w:after="0" w:line="360" w:lineRule="auto"/>
        <w:rPr>
          <w:rFonts w:cs="Arial"/>
          <w:b/>
        </w:rPr>
      </w:pPr>
      <w:r w:rsidRPr="00074E91">
        <w:rPr>
          <w:rFonts w:cs="Arial"/>
          <w:b/>
        </w:rPr>
        <w:t>Identificación de la Perspectiva de Género</w:t>
      </w:r>
    </w:p>
    <w:p w14:paraId="24C5BA90" w14:textId="77777777" w:rsidR="007872B7" w:rsidRPr="00074E91" w:rsidRDefault="007872B7" w:rsidP="007872B7">
      <w:pPr>
        <w:pStyle w:val="Prrafodelista"/>
        <w:spacing w:after="0" w:line="360" w:lineRule="auto"/>
        <w:rPr>
          <w:rFonts w:cs="Arial"/>
          <w:b/>
        </w:rPr>
      </w:pPr>
    </w:p>
    <w:p w14:paraId="5092FB6E" w14:textId="77777777" w:rsidR="007872B7" w:rsidRPr="00074E91" w:rsidRDefault="007872B7" w:rsidP="00190ACD">
      <w:pPr>
        <w:pStyle w:val="Prrafodelista"/>
        <w:numPr>
          <w:ilvl w:val="0"/>
          <w:numId w:val="13"/>
        </w:numPr>
        <w:spacing w:line="360" w:lineRule="auto"/>
        <w:rPr>
          <w:rFonts w:cs="Arial"/>
          <w:b/>
        </w:rPr>
      </w:pPr>
      <w:r w:rsidRPr="00074E91">
        <w:rPr>
          <w:rFonts w:cs="Arial"/>
          <w:b/>
        </w:rPr>
        <w:t xml:space="preserve">¿El Pp identifica </w:t>
      </w:r>
      <w:r w:rsidR="007F74DE" w:rsidRPr="00074E91">
        <w:rPr>
          <w:rFonts w:cs="Arial"/>
          <w:b/>
        </w:rPr>
        <w:t>como si</w:t>
      </w:r>
      <w:r w:rsidRPr="00074E91">
        <w:rPr>
          <w:rFonts w:cs="Arial"/>
          <w:b/>
        </w:rPr>
        <w:t xml:space="preserve"> existe evidencia sobre su contribución a la reducción de las brechas de desigualdad de género?</w:t>
      </w:r>
    </w:p>
    <w:p w14:paraId="5D216762" w14:textId="59D9F261" w:rsidR="002C2271" w:rsidRPr="00074E91" w:rsidRDefault="007872B7" w:rsidP="003B4EED">
      <w:pPr>
        <w:spacing w:before="240" w:after="120"/>
        <w:rPr>
          <w:rFonts w:cs="Arial"/>
        </w:rPr>
      </w:pPr>
      <w:r w:rsidRPr="00074E91">
        <w:rPr>
          <w:rFonts w:cs="Arial"/>
          <w:b/>
          <w:u w:val="single"/>
        </w:rPr>
        <w:t>Respuesta</w:t>
      </w:r>
      <w:r w:rsidRPr="00074E91">
        <w:rPr>
          <w:rFonts w:cs="Arial"/>
          <w:b/>
        </w:rPr>
        <w:t>:</w:t>
      </w:r>
      <w:r w:rsidR="003B4EED" w:rsidRPr="003B4EED">
        <w:rPr>
          <w:rFonts w:cs="Arial"/>
          <w:bCs/>
        </w:rPr>
        <w:t xml:space="preserve"> </w:t>
      </w:r>
      <w:r w:rsidR="002C2271" w:rsidRPr="00074E91">
        <w:rPr>
          <w:rFonts w:cs="Arial"/>
        </w:rPr>
        <w:t>Sí. Se identifica que el diseño y la operación institucional incorporan de manera explícita la perspectiva de género y de no discriminación, y existe evidencia normativa y operativa que apunta a una contribución a la reducción de brechas, aunque todavía es perfectible en términos de indicadores y metas específicas.</w:t>
      </w:r>
    </w:p>
    <w:p w14:paraId="6587F796" w14:textId="77777777" w:rsidR="002C2271" w:rsidRPr="00074E91" w:rsidRDefault="002C2271" w:rsidP="002C2271">
      <w:pPr>
        <w:rPr>
          <w:rFonts w:cs="Arial"/>
        </w:rPr>
      </w:pPr>
      <w:r w:rsidRPr="00074E91">
        <w:rPr>
          <w:rFonts w:cs="Arial"/>
        </w:rPr>
        <w:t>El Código de Conducta fija como principios obligatorios la Igualdad y No Discriminación y la Equidad de Género, ejes que atraviesan la convivencia, los procesos académicos y la atención a la comunidad estudiantil, y que son públicos y vigentes en el portal institucional. Este marco constituye el sustento formal para prevenir sesgos en el acceso, la permanencia, la titulación y el trato cotidiano, y para activar mecanismos de atención ante incidentes, con enfoque de derechos y de debida diligencia.</w:t>
      </w:r>
    </w:p>
    <w:p w14:paraId="2C321F4B" w14:textId="77777777" w:rsidR="002C2271" w:rsidRPr="00074E91" w:rsidRDefault="002C2271" w:rsidP="002C2271">
      <w:pPr>
        <w:rPr>
          <w:rFonts w:cs="Arial"/>
        </w:rPr>
      </w:pPr>
      <w:r w:rsidRPr="00074E91">
        <w:rPr>
          <w:rFonts w:cs="Arial"/>
        </w:rPr>
        <w:t>En la práctica, el programa universitario de becas y apoyos —bajo reglas establecidas y en concordancia con el Comité de Becas— se difunde por medios físicos y digitales y ha operado de forma sostenida durante 2024 y 2025, lo que ha permitido proteger trayectorias escolares de mujeres en condición de vulnerabilidad económica y disminuir riesgos de abandono; la difusión oportuna y la eliminación de barreras informativas se alinean con los principios de accesibilidad que impone el propio marco de integridad institucional.</w:t>
      </w:r>
    </w:p>
    <w:p w14:paraId="19E74602" w14:textId="77777777" w:rsidR="002C2271" w:rsidRPr="00074E91" w:rsidRDefault="002C2271" w:rsidP="002C2271">
      <w:pPr>
        <w:rPr>
          <w:rFonts w:cs="Arial"/>
        </w:rPr>
      </w:pPr>
      <w:r w:rsidRPr="00074E91">
        <w:rPr>
          <w:rFonts w:cs="Arial"/>
        </w:rPr>
        <w:t>Adicionalmente, la política BIS (Bilingüe, Internacional y Sustentable) que despliega la Universidad como parte del servicio misional fortalece competencias transversales y de empleabilidad —inglés académico y técnico, exposición internacional, sustentabilidad— con acceso abierto para toda la matrícula. En términos de género, esto contribuye a reducir brechas de capital humano que históricamente han afectado con mayor intensidad a las mujeres en áreas STEM y de alta especialización.</w:t>
      </w:r>
    </w:p>
    <w:p w14:paraId="58757252" w14:textId="4565A0E4" w:rsidR="002C2271" w:rsidRPr="00074E91" w:rsidRDefault="002C2271" w:rsidP="002C2271">
      <w:pPr>
        <w:rPr>
          <w:rFonts w:cs="Arial"/>
        </w:rPr>
      </w:pPr>
      <w:r w:rsidRPr="00074E91">
        <w:rPr>
          <w:rFonts w:cs="Arial"/>
        </w:rPr>
        <w:t>En el plano de resultados, la universidad documenta en 2024 y 2025 una actividad constante del padrón de becas internas (</w:t>
      </w:r>
      <w:r w:rsidR="003703C2" w:rsidRPr="00074E91">
        <w:rPr>
          <w:rFonts w:cs="Arial"/>
        </w:rPr>
        <w:t>Cuatrimestre 1,2 y 3</w:t>
      </w:r>
      <w:r w:rsidRPr="00074E91">
        <w:rPr>
          <w:rFonts w:cs="Arial"/>
        </w:rPr>
        <w:t xml:space="preserve">), junto con acciones de inclusión y trato igualitario (atención a estudiantes con discapacidad y a grupos prioritarios, impulso a la participación cultural </w:t>
      </w:r>
      <w:r w:rsidRPr="00074E91">
        <w:rPr>
          <w:rFonts w:cs="Arial"/>
        </w:rPr>
        <w:lastRenderedPageBreak/>
        <w:t>y deportiva, continuidad del seguimiento de egresados con foco en empleabilidad). Estos frentes describen una cadena lógica de efectos sobre el bienestar específico de las estudiantes: alivio de restricciones financieras (becas), disminución de barreras de acceso y participación (inclusión, cultura y deporte) y mejora de inserción laboral (estadías y seguimiento de egresados).</w:t>
      </w:r>
    </w:p>
    <w:p w14:paraId="2CAFAB73" w14:textId="77777777" w:rsidR="002C2271" w:rsidRPr="00074E91" w:rsidRDefault="002C2271" w:rsidP="002C2271">
      <w:pPr>
        <w:rPr>
          <w:rFonts w:cs="Arial"/>
        </w:rPr>
      </w:pPr>
      <w:r w:rsidRPr="00074E91">
        <w:rPr>
          <w:rFonts w:cs="Arial"/>
        </w:rPr>
        <w:t>En el contexto del Sistema Educativo Nacional, donde la matrícula femenina en educación superior ya es mayoritaria, la reducción de brechas actuales pasa por asegurar igualdad en permanencia, titulación e inserción con calidad, más que solo en el acceso. De ahí la pertinencia de que los indicadores del Pp se desagreguen por sexo y apunten a resultados (retención, eficiencia terminal, titulación, estadías, colocación) con metas diferenciales cuando proceda. En el subsistema al que pertenece la UTC, la política pública reciente ha posicionado la equidad de género como eje de desempeño institucional —incluyendo acciones de igualdad sustantiva, prevención de violencia y oportunidades de acceso—, lo que refuerza la coherencia del Pp con el marco sectorial.</w:t>
      </w:r>
    </w:p>
    <w:p w14:paraId="6A5137B0" w14:textId="77777777" w:rsidR="002C2271" w:rsidRPr="00074E91" w:rsidRDefault="002C2271" w:rsidP="002C2271">
      <w:pPr>
        <w:rPr>
          <w:rFonts w:cs="Arial"/>
        </w:rPr>
      </w:pPr>
      <w:r w:rsidRPr="00074E91">
        <w:rPr>
          <w:rFonts w:cs="Arial"/>
        </w:rPr>
        <w:t>A partir de estos elementos, la contribución del Pp al bienestar con perspectiva de género se observa en tres planos:</w:t>
      </w:r>
    </w:p>
    <w:p w14:paraId="48D23DC5" w14:textId="77777777" w:rsidR="002C2271" w:rsidRPr="00074E91" w:rsidRDefault="002C2271" w:rsidP="003B4EED">
      <w:pPr>
        <w:pStyle w:val="Prrafodelista"/>
        <w:numPr>
          <w:ilvl w:val="0"/>
          <w:numId w:val="56"/>
        </w:numPr>
        <w:spacing w:line="360" w:lineRule="auto"/>
        <w:rPr>
          <w:rFonts w:cs="Arial"/>
        </w:rPr>
      </w:pPr>
      <w:r w:rsidRPr="00074E91">
        <w:rPr>
          <w:rFonts w:cs="Arial"/>
        </w:rPr>
        <w:t>bienestar material (apoyos y becas que amortiguan choques económicos y favorecen la continuidad de estudios);</w:t>
      </w:r>
    </w:p>
    <w:p w14:paraId="44987872" w14:textId="77777777" w:rsidR="002C2271" w:rsidRPr="00074E91" w:rsidRDefault="002C2271" w:rsidP="003B4EED">
      <w:pPr>
        <w:pStyle w:val="Prrafodelista"/>
        <w:numPr>
          <w:ilvl w:val="0"/>
          <w:numId w:val="56"/>
        </w:numPr>
        <w:spacing w:line="360" w:lineRule="auto"/>
        <w:rPr>
          <w:rFonts w:cs="Arial"/>
        </w:rPr>
      </w:pPr>
      <w:r w:rsidRPr="00074E91">
        <w:rPr>
          <w:rFonts w:cs="Arial"/>
        </w:rPr>
        <w:t>bienestar psicosocial y de entorno (ambiente universitario libre de discriminación respaldado por principios explícitos de igualdad y mecanismos de actuación); y</w:t>
      </w:r>
    </w:p>
    <w:p w14:paraId="28518B00" w14:textId="77777777" w:rsidR="002C2271" w:rsidRPr="00074E91" w:rsidRDefault="002C2271" w:rsidP="003B4EED">
      <w:pPr>
        <w:pStyle w:val="Prrafodelista"/>
        <w:numPr>
          <w:ilvl w:val="0"/>
          <w:numId w:val="56"/>
        </w:numPr>
        <w:spacing w:line="360" w:lineRule="auto"/>
        <w:rPr>
          <w:rFonts w:cs="Arial"/>
        </w:rPr>
      </w:pPr>
      <w:r w:rsidRPr="00074E91">
        <w:rPr>
          <w:rFonts w:cs="Arial"/>
        </w:rPr>
        <w:t>bienestar proyectivo (competencias BIS, estadías y vinculación que elevan la empleabilidad y los ingresos esperados).</w:t>
      </w:r>
    </w:p>
    <w:p w14:paraId="66F26A71" w14:textId="77777777" w:rsidR="004B21CA" w:rsidRPr="00074E91" w:rsidRDefault="004B21CA" w:rsidP="004B21CA">
      <w:pPr>
        <w:pStyle w:val="Ttulo3"/>
        <w:rPr>
          <w:rFonts w:cs="Arial"/>
          <w:lang w:val="es-ES"/>
        </w:rPr>
      </w:pPr>
      <w:bookmarkStart w:id="53" w:name="_Toc227668604"/>
      <w:r w:rsidRPr="00074E91">
        <w:rPr>
          <w:rFonts w:cs="Arial"/>
          <w:lang w:val="es-ES"/>
        </w:rPr>
        <w:t>Sección V. Consistencia programática y normativa</w:t>
      </w:r>
      <w:bookmarkEnd w:id="53"/>
    </w:p>
    <w:p w14:paraId="7CEA5201" w14:textId="77777777" w:rsidR="004B21CA" w:rsidRPr="00074E91" w:rsidRDefault="004B21CA" w:rsidP="00190ACD">
      <w:pPr>
        <w:pStyle w:val="Prrafodelista"/>
        <w:numPr>
          <w:ilvl w:val="0"/>
          <w:numId w:val="13"/>
        </w:numPr>
        <w:spacing w:line="360" w:lineRule="auto"/>
        <w:rPr>
          <w:rFonts w:cs="Arial"/>
          <w:b/>
        </w:rPr>
      </w:pPr>
      <w:r w:rsidRPr="00074E91">
        <w:rPr>
          <w:rFonts w:cs="Arial"/>
          <w:b/>
        </w:rPr>
        <w:t>¿La modalidad presupuestaria del Pp es consistente con el objetivo que éste persigue, con los bienes y/o servicios que genera, con sus actividades sustantivas y, en conjunto, con su mecanismo de intervención?</w:t>
      </w:r>
    </w:p>
    <w:p w14:paraId="2350F994" w14:textId="0FFCE195" w:rsidR="002C2271" w:rsidRPr="00074E91" w:rsidRDefault="004B21CA" w:rsidP="003B4EED">
      <w:pPr>
        <w:spacing w:before="240" w:after="120"/>
        <w:rPr>
          <w:rFonts w:cs="Arial"/>
        </w:rPr>
      </w:pPr>
      <w:r w:rsidRPr="00074E91">
        <w:rPr>
          <w:rFonts w:cs="Arial"/>
          <w:b/>
        </w:rPr>
        <w:t>Respuesta:</w:t>
      </w:r>
      <w:r w:rsidR="003B4EED" w:rsidRPr="003B4EED">
        <w:rPr>
          <w:rFonts w:cs="Arial"/>
          <w:bCs/>
        </w:rPr>
        <w:t xml:space="preserve"> </w:t>
      </w:r>
      <w:r w:rsidR="002C2271" w:rsidRPr="00074E91">
        <w:rPr>
          <w:rFonts w:cs="Arial"/>
        </w:rPr>
        <w:t>La modalidad presupuestaria del Pp “Servicios de Educación Superior y Posgrado de Calidad” es consistente con su objetivo, con los bienes y servicios que genera, con sus actividades sustantivas y, en conjunto, con su mecanismo de intervención.</w:t>
      </w:r>
    </w:p>
    <w:p w14:paraId="7483752F" w14:textId="77777777" w:rsidR="002C2271" w:rsidRPr="00074E91" w:rsidRDefault="002C2271" w:rsidP="002C2271">
      <w:pPr>
        <w:rPr>
          <w:rFonts w:cs="Arial"/>
        </w:rPr>
      </w:pPr>
      <w:r w:rsidRPr="00074E91">
        <w:rPr>
          <w:rFonts w:cs="Arial"/>
        </w:rPr>
        <w:t>De acuerdo con la “Clasificación Programática” vigente en Sinaloa, las modalidades definen la naturaleza del programa y su lógica de intervención. Para programas cuya razón de ser es la provisión directa y continua de un servicio público (docencia, tutorías, estadías, biblioteca, inglés/BIS, vinculación y seguimiento de egresados) la modalidad aplicable es “E: Prestación de servicios públicos”, dentro del marco de finalidades y funciones CONAC, lo que encuadra de forma natural a un Pp de educación superior como el de la Universidad Tecnológica de Culiacán.</w:t>
      </w:r>
    </w:p>
    <w:p w14:paraId="723384C8" w14:textId="77777777" w:rsidR="002C2271" w:rsidRPr="00074E91" w:rsidRDefault="002C2271" w:rsidP="002C2271">
      <w:pPr>
        <w:rPr>
          <w:rFonts w:cs="Arial"/>
        </w:rPr>
      </w:pPr>
      <w:r w:rsidRPr="00074E91">
        <w:rPr>
          <w:rFonts w:cs="Arial"/>
        </w:rPr>
        <w:lastRenderedPageBreak/>
        <w:t>Esta modalidad “E” se ubica en la cadena programática junto con la Finalidad/Función/Subfunción de Desarrollo social / Educación / Educación superior, asegurando alineación entre el objetivo del Pp (acceso, permanencia, egreso y empleabilidad de estudiantes de la región) y la naturaleza del gasto (operación académica continua con énfasis en personal docente y de apoyo, materiales y servicios requeridos por laboratorios, aulas y centros de cómputo).</w:t>
      </w:r>
    </w:p>
    <w:p w14:paraId="3D79DE79" w14:textId="77777777" w:rsidR="002C2271" w:rsidRPr="00074E91" w:rsidRDefault="002C2271" w:rsidP="002C2271">
      <w:pPr>
        <w:rPr>
          <w:rFonts w:cs="Arial"/>
        </w:rPr>
      </w:pPr>
      <w:r w:rsidRPr="00074E91">
        <w:rPr>
          <w:rFonts w:cs="Arial"/>
        </w:rPr>
        <w:t>El propio Tomo I de la Clave Presupuestal y sus Catálogos del Paquete Económico de Sinaloa 2024 define que la clasificación programática incorpora “Modalidad”, “Finalidad, Función y Subfunción” y demás catálogos, precisando que “E: Prestación de servicios públicos” aplica cuando el programa proporciona bienes o servicios a la población de manera directa, lo cual describe la operación cotidiana de la UTC (clases, tutorías, estadías, trámites escolares, certificaciones, etcétera).</w:t>
      </w:r>
    </w:p>
    <w:p w14:paraId="07589E81" w14:textId="77777777" w:rsidR="002C2271" w:rsidRPr="00074E91" w:rsidRDefault="002C2271" w:rsidP="002C2271">
      <w:pPr>
        <w:rPr>
          <w:rFonts w:cs="Arial"/>
        </w:rPr>
      </w:pPr>
      <w:r w:rsidRPr="00074E91">
        <w:rPr>
          <w:rFonts w:cs="Arial"/>
        </w:rPr>
        <w:t>Por su parte, la oferta educativa de la UTC —impartida bajo el Modelo BIS (Bilingüe, Internacional y Sustentable)— confirma el carácter prestacional del Pp: la institución no transfiere recursos a terceros como objeto principal ni ejecuta proyectos de inversión discretos como fin del programa, sino que entrega de forma sostenida servicios académicos y formativos con un componente transversal de inglés e internacionalización (English Lab, cuatrimestre intensivo en idioma, asignaturas técnicas en inglés), elementos que refuerzan la pertinencia y la empleabilidad del estudiantado y que se corresponden con la modalidad de prestación de servicios públicos educativos.</w:t>
      </w:r>
    </w:p>
    <w:p w14:paraId="6DC56678" w14:textId="77777777" w:rsidR="002C2271" w:rsidRPr="00074E91" w:rsidRDefault="002C2271" w:rsidP="002C2271">
      <w:pPr>
        <w:rPr>
          <w:rFonts w:cs="Arial"/>
        </w:rPr>
      </w:pPr>
      <w:r w:rsidRPr="00074E91">
        <w:rPr>
          <w:rFonts w:cs="Arial"/>
        </w:rPr>
        <w:t>Con base en lo anterior, la modalidad “E” refleja adecuadamente el mecanismo causal del Pp (insumos → procesos académicos y de acompañamiento → productos educativos → resultados en trayectoria y empleabilidad) y garantiza consistencia entre objetivo, bienes/servicios, actividades sustantivas y naturaleza del gasto.</w:t>
      </w:r>
    </w:p>
    <w:p w14:paraId="48F8FEDB" w14:textId="77777777" w:rsidR="009E6BE7" w:rsidRPr="00074E91" w:rsidRDefault="009E6BE7" w:rsidP="00190ACD">
      <w:pPr>
        <w:pStyle w:val="Prrafodelista"/>
        <w:numPr>
          <w:ilvl w:val="0"/>
          <w:numId w:val="13"/>
        </w:numPr>
        <w:spacing w:line="360" w:lineRule="auto"/>
        <w:rPr>
          <w:rFonts w:cs="Arial"/>
          <w:b/>
        </w:rPr>
      </w:pPr>
      <w:r w:rsidRPr="00074E91">
        <w:rPr>
          <w:rFonts w:cs="Arial"/>
          <w:b/>
        </w:rPr>
        <w:t>¿Los elementos del diseño de la propuesta de atención del Pp (objetivos, bienes y/o servicios generados y poblaciones) se retoman y guardan congruencia entre sus documentos estratégicos, institucionales, normativos y operativos?</w:t>
      </w:r>
    </w:p>
    <w:p w14:paraId="1355FBBE" w14:textId="77777777" w:rsidR="009E6BE7" w:rsidRPr="00074E91" w:rsidRDefault="009E6BE7" w:rsidP="009E6BE7">
      <w:pPr>
        <w:spacing w:before="240" w:after="120"/>
        <w:rPr>
          <w:rFonts w:cs="Arial"/>
          <w:b/>
          <w:u w:val="single"/>
        </w:rPr>
      </w:pPr>
      <w:r w:rsidRPr="00074E91">
        <w:rPr>
          <w:rFonts w:cs="Arial"/>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713"/>
        <w:gridCol w:w="7524"/>
      </w:tblGrid>
      <w:tr w:rsidR="009E6BE7" w:rsidRPr="00074E91" w14:paraId="61A7DE93" w14:textId="77777777" w:rsidTr="00687562">
        <w:trPr>
          <w:trHeight w:val="340"/>
          <w:tblHeader/>
          <w:jc w:val="right"/>
        </w:trPr>
        <w:tc>
          <w:tcPr>
            <w:tcW w:w="433" w:type="pct"/>
            <w:shd w:val="clear" w:color="auto" w:fill="7F7F7F" w:themeFill="text1" w:themeFillTint="80"/>
            <w:vAlign w:val="center"/>
          </w:tcPr>
          <w:p w14:paraId="64A755E1" w14:textId="77777777" w:rsidR="009E6BE7" w:rsidRPr="00074E91" w:rsidRDefault="009E6BE7"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074E91">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029678E0" w14:textId="77777777" w:rsidR="009E6BE7" w:rsidRPr="00074E91" w:rsidRDefault="009E6BE7"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074E91">
              <w:rPr>
                <w:rFonts w:eastAsia="Times" w:cs="Arial"/>
                <w:b/>
                <w:iCs/>
                <w:color w:val="FFFFFF" w:themeColor="background1"/>
                <w:szCs w:val="20"/>
                <w:lang w:eastAsia="es-MX"/>
              </w:rPr>
              <w:t>Respuesta</w:t>
            </w:r>
          </w:p>
        </w:tc>
      </w:tr>
      <w:tr w:rsidR="009E6BE7" w:rsidRPr="00074E91" w14:paraId="71FA88D1" w14:textId="77777777" w:rsidTr="005D5B8B">
        <w:trPr>
          <w:jc w:val="right"/>
        </w:trPr>
        <w:tc>
          <w:tcPr>
            <w:tcW w:w="433" w:type="pct"/>
            <w:vAlign w:val="center"/>
          </w:tcPr>
          <w:p w14:paraId="001285E6" w14:textId="11DCD92B" w:rsidR="009E6BE7" w:rsidRPr="00074E91" w:rsidRDefault="0075251A"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sidRPr="00074E91">
              <w:rPr>
                <w:rFonts w:eastAsia="Calibri" w:cs="Arial"/>
                <w:szCs w:val="20"/>
                <w:lang w:eastAsia="es-MX"/>
              </w:rPr>
              <w:t>0</w:t>
            </w:r>
          </w:p>
        </w:tc>
        <w:tc>
          <w:tcPr>
            <w:tcW w:w="4567" w:type="pct"/>
            <w:vAlign w:val="center"/>
          </w:tcPr>
          <w:p w14:paraId="61A78086" w14:textId="2E52A68F" w:rsidR="009E6BE7" w:rsidRPr="00074E91" w:rsidRDefault="00B13AF8" w:rsidP="00B13AF8">
            <w:pPr>
              <w:numPr>
                <w:ilvl w:val="0"/>
                <w:numId w:val="1"/>
              </w:numPr>
              <w:spacing w:after="0" w:line="240" w:lineRule="atLeast"/>
              <w:rPr>
                <w:rFonts w:eastAsia="Calibri" w:cs="Arial"/>
                <w:szCs w:val="20"/>
                <w:lang w:eastAsia="es-MX"/>
              </w:rPr>
            </w:pPr>
            <w:r w:rsidRPr="00074E91">
              <w:rPr>
                <w:rFonts w:eastAsia="Calibri" w:cs="Arial"/>
                <w:szCs w:val="20"/>
                <w:lang w:eastAsia="es-MX"/>
              </w:rPr>
              <w:t>Ninguno de los documentos estratégicos, institucionales, normativos y operativos del Pp son consistentes con el diseño de la propuesta de atención del Pp.</w:t>
            </w:r>
          </w:p>
        </w:tc>
      </w:tr>
    </w:tbl>
    <w:p w14:paraId="79DEDC75" w14:textId="47550E35" w:rsidR="002C2271" w:rsidRPr="00074E91" w:rsidRDefault="00687562" w:rsidP="003B4EED">
      <w:pPr>
        <w:spacing w:before="240" w:after="120"/>
        <w:rPr>
          <w:rFonts w:cs="Arial"/>
        </w:rPr>
      </w:pPr>
      <w:r w:rsidRPr="00074E91">
        <w:rPr>
          <w:rFonts w:cs="Arial"/>
          <w:b/>
          <w:u w:val="single"/>
        </w:rPr>
        <w:t>Justificación:</w:t>
      </w:r>
      <w:r w:rsidR="003B4EED" w:rsidRPr="003B4EED">
        <w:rPr>
          <w:rFonts w:cs="Arial"/>
          <w:bCs/>
        </w:rPr>
        <w:t xml:space="preserve"> </w:t>
      </w:r>
      <w:r w:rsidR="002C2271" w:rsidRPr="00074E91">
        <w:rPr>
          <w:rFonts w:cs="Arial"/>
        </w:rPr>
        <w:t xml:space="preserve">Los elementos centrales del diseño del Pp —objetivo orientado a prestar servicios de educación superior con calidad y pertinencia; bienes y servicios como docencia por </w:t>
      </w:r>
      <w:r w:rsidR="002C2271" w:rsidRPr="00074E91">
        <w:rPr>
          <w:rFonts w:cs="Arial"/>
        </w:rPr>
        <w:lastRenderedPageBreak/>
        <w:t xml:space="preserve">competencias, tutorías, estadías profesionales, seguimiento de egresados, vinculación y el componente BIS; y </w:t>
      </w:r>
      <w:proofErr w:type="gramStart"/>
      <w:r w:rsidR="002C2271" w:rsidRPr="00074E91">
        <w:rPr>
          <w:rFonts w:cs="Arial"/>
        </w:rPr>
        <w:t>poblaciones potencial</w:t>
      </w:r>
      <w:proofErr w:type="gramEnd"/>
      <w:r w:rsidR="002C2271" w:rsidRPr="00074E91">
        <w:rPr>
          <w:rFonts w:cs="Arial"/>
        </w:rPr>
        <w:t>, objetivo y atendida— se retoman de forma consistente y sin contradicciones en los documentos estratégicos, institucionales, normativos y operativos.</w:t>
      </w:r>
    </w:p>
    <w:p w14:paraId="75BC6B56" w14:textId="77777777" w:rsidR="002C2271" w:rsidRPr="00074E91" w:rsidRDefault="002C2271" w:rsidP="002C2271">
      <w:pPr>
        <w:rPr>
          <w:rFonts w:cs="Arial"/>
        </w:rPr>
      </w:pPr>
      <w:r w:rsidRPr="00074E91">
        <w:rPr>
          <w:rFonts w:cs="Arial"/>
        </w:rPr>
        <w:t>El Decreto de Creación y el apartado institucional de “Normatividad” fijan el mandato, la naturaleza de servicio público y el marco reglamentario que habilita la operación académica; allí se concentran reglamentos y el propio decreto, asegurando trazabilidad normativa entre el propósito del programa y los procedimientos de la Universidad Tecnológica de Culiacán.</w:t>
      </w:r>
    </w:p>
    <w:p w14:paraId="586EC5BD" w14:textId="77777777" w:rsidR="002C2271" w:rsidRPr="00074E91" w:rsidRDefault="002C2271" w:rsidP="002C2271">
      <w:pPr>
        <w:rPr>
          <w:rFonts w:cs="Arial"/>
        </w:rPr>
      </w:pPr>
      <w:r w:rsidRPr="00074E91">
        <w:rPr>
          <w:rFonts w:cs="Arial"/>
        </w:rPr>
        <w:t>Esta base se refleja en la arquitectura de planeación y evaluación publicada por la universidad, donde se listan el Programa Institucional de Desarrollo (PIDE), el Programa Operativo Anual (POA) y la Matriz de Indicadores de Evaluación/Desempeño; dichos instrumentos estratégicos alinean metas, cobertura y resultados con el diseño del Pp, manteniendo unidad conceptual entre objetivos, componentes y población.</w:t>
      </w:r>
    </w:p>
    <w:p w14:paraId="2CA4DB79" w14:textId="21520671" w:rsidR="002C2271" w:rsidRPr="00074E91" w:rsidRDefault="002C2271" w:rsidP="002C2271">
      <w:pPr>
        <w:rPr>
          <w:rFonts w:cs="Arial"/>
        </w:rPr>
      </w:pPr>
      <w:r w:rsidRPr="00074E91">
        <w:rPr>
          <w:rFonts w:cs="Arial"/>
        </w:rPr>
        <w:t xml:space="preserve">A nivel operativo, las páginas académicas y de programas evidencian los mecanismos de estadías, internacionalización y seguimiento de egresados como </w:t>
      </w:r>
      <w:r w:rsidR="00BB19C5" w:rsidRPr="00074E91">
        <w:rPr>
          <w:rFonts w:cs="Arial"/>
        </w:rPr>
        <w:t xml:space="preserve">funciones sustantivas </w:t>
      </w:r>
      <w:r w:rsidRPr="00074E91">
        <w:rPr>
          <w:rFonts w:cs="Arial"/>
        </w:rPr>
        <w:t>declarados y vigentes, lo que confirma la congruencia entre lo que el Pp declara que hará y lo que efectivamente ofrece en la ruta escuela–trabajo.</w:t>
      </w:r>
    </w:p>
    <w:p w14:paraId="4B847571" w14:textId="77777777" w:rsidR="002C2271" w:rsidRPr="00074E91" w:rsidRDefault="002C2271" w:rsidP="002C2271">
      <w:pPr>
        <w:rPr>
          <w:rFonts w:cs="Arial"/>
        </w:rPr>
      </w:pPr>
      <w:r w:rsidRPr="00074E91">
        <w:rPr>
          <w:rFonts w:cs="Arial"/>
        </w:rPr>
        <w:t>El Modelo BIS —bilingüe, internacional y sustentable— aparece integrado como rasgo de diseño en la oferta educativa institucional (por ejemplo, en Energías Renovables), enlazando el objetivo de empleabilidad y movilidad con bienes y servicios concretos (inglés intensivo, internacionalización, sustentabilidad), sin tensión con el resto de los documentos del Pp. Asimismo, los procedimientos de ingreso, reinscripción y servicios escolares que sustentan la entrega de bienes y servicios están publicados con políticas para aspirantes, cerrando el círculo de consistencia entre normatividad, operación y atención a la población objetivo.</w:t>
      </w:r>
    </w:p>
    <w:p w14:paraId="339A4AA4" w14:textId="05ADF6CC" w:rsidR="002C2271" w:rsidRPr="00074E91" w:rsidRDefault="002C2271" w:rsidP="002C2271">
      <w:pPr>
        <w:rPr>
          <w:rFonts w:cs="Arial"/>
        </w:rPr>
      </w:pPr>
      <w:r w:rsidRPr="00074E91">
        <w:rPr>
          <w:rFonts w:cs="Arial"/>
        </w:rPr>
        <w:t xml:space="preserve">En conjunto, el mandato legal (Decreto/Reglamentos), la planeación estratégica (PIDE/POA/Matriz de indicadores), la descripción operativa de </w:t>
      </w:r>
      <w:r w:rsidR="00BB19C5" w:rsidRPr="00074E91">
        <w:rPr>
          <w:rFonts w:cs="Arial"/>
        </w:rPr>
        <w:t xml:space="preserve">las funciones sustantivas </w:t>
      </w:r>
      <w:r w:rsidRPr="00074E91">
        <w:rPr>
          <w:rFonts w:cs="Arial"/>
        </w:rPr>
        <w:t>(estadías, internacionalización, seguimiento de egresados) y los procedimientos de acceso/atención al estudiantado se corresponden explícitamente con el objetivo del Pp y su mecanismo de intervención, sin divergencias detectadas entre documentos estratégicos, institucionales, normativos u operativos.</w:t>
      </w:r>
    </w:p>
    <w:p w14:paraId="412E4035" w14:textId="77777777" w:rsidR="009E6BE7" w:rsidRPr="00074E91" w:rsidRDefault="009E6BE7" w:rsidP="009E6BE7">
      <w:pPr>
        <w:pStyle w:val="Ttulo3"/>
        <w:rPr>
          <w:rFonts w:cs="Arial"/>
          <w:lang w:val="es-ES"/>
        </w:rPr>
      </w:pPr>
      <w:bookmarkStart w:id="54" w:name="_Toc227668605"/>
      <w:r w:rsidRPr="00074E91">
        <w:rPr>
          <w:rFonts w:cs="Arial"/>
          <w:lang w:val="es-ES"/>
        </w:rPr>
        <w:t xml:space="preserve">Sección VI. Contribución a objetivos de la planeación </w:t>
      </w:r>
      <w:r w:rsidR="00790712" w:rsidRPr="00074E91">
        <w:rPr>
          <w:rFonts w:cs="Arial"/>
          <w:lang w:val="es-ES"/>
        </w:rPr>
        <w:t>estatal</w:t>
      </w:r>
      <w:bookmarkEnd w:id="54"/>
    </w:p>
    <w:p w14:paraId="266207CC" w14:textId="77777777" w:rsidR="009E6BE7" w:rsidRPr="00074E91" w:rsidRDefault="009E6BE7" w:rsidP="00190ACD">
      <w:pPr>
        <w:pStyle w:val="Prrafodelista"/>
        <w:numPr>
          <w:ilvl w:val="0"/>
          <w:numId w:val="13"/>
        </w:numPr>
        <w:spacing w:line="360" w:lineRule="auto"/>
        <w:rPr>
          <w:rFonts w:cs="Arial"/>
          <w:b/>
        </w:rPr>
      </w:pPr>
      <w:r w:rsidRPr="00074E91">
        <w:rPr>
          <w:rFonts w:cs="Arial"/>
          <w:b/>
        </w:rPr>
        <w:t xml:space="preserve">¿El objetivo central del Pp contribuye al cumplimiento de alguno de los objetivos o estrategias que se definen en los programas que se derivan del Plan </w:t>
      </w:r>
      <w:r w:rsidR="00790712" w:rsidRPr="00074E91">
        <w:rPr>
          <w:rFonts w:cs="Arial"/>
          <w:b/>
        </w:rPr>
        <w:t>Estatal de Desarrollo (PE</w:t>
      </w:r>
      <w:r w:rsidRPr="00074E91">
        <w:rPr>
          <w:rFonts w:cs="Arial"/>
          <w:b/>
        </w:rPr>
        <w:t>D) vigente?</w:t>
      </w:r>
    </w:p>
    <w:p w14:paraId="19D1EF15" w14:textId="77777777" w:rsidR="00000D32" w:rsidRPr="00074E91" w:rsidRDefault="00000D32" w:rsidP="00000D32">
      <w:pPr>
        <w:spacing w:before="240" w:after="120"/>
        <w:rPr>
          <w:rFonts w:cs="Arial"/>
          <w:b/>
          <w:u w:val="single"/>
        </w:rPr>
      </w:pPr>
      <w:r w:rsidRPr="00074E91">
        <w:rPr>
          <w:rFonts w:cs="Arial"/>
          <w:b/>
          <w:u w:val="single"/>
        </w:rPr>
        <w:lastRenderedPageBreak/>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713"/>
        <w:gridCol w:w="7524"/>
      </w:tblGrid>
      <w:tr w:rsidR="00000D32" w:rsidRPr="00074E91" w14:paraId="7431010E" w14:textId="77777777" w:rsidTr="00687562">
        <w:trPr>
          <w:trHeight w:val="340"/>
          <w:tblHeader/>
          <w:jc w:val="right"/>
        </w:trPr>
        <w:tc>
          <w:tcPr>
            <w:tcW w:w="433" w:type="pct"/>
            <w:shd w:val="clear" w:color="auto" w:fill="7F7F7F" w:themeFill="text1" w:themeFillTint="80"/>
            <w:vAlign w:val="center"/>
          </w:tcPr>
          <w:p w14:paraId="25CDC788" w14:textId="77777777" w:rsidR="00000D32" w:rsidRPr="00074E91" w:rsidRDefault="00000D32"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074E91">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626C6A25" w14:textId="77777777" w:rsidR="00000D32" w:rsidRPr="00074E91" w:rsidRDefault="00000D32"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074E91">
              <w:rPr>
                <w:rFonts w:eastAsia="Times" w:cs="Arial"/>
                <w:b/>
                <w:iCs/>
                <w:color w:val="FFFFFF" w:themeColor="background1"/>
                <w:szCs w:val="20"/>
                <w:lang w:eastAsia="es-MX"/>
              </w:rPr>
              <w:t>Respuesta</w:t>
            </w:r>
          </w:p>
        </w:tc>
      </w:tr>
      <w:tr w:rsidR="00000D32" w:rsidRPr="00074E91" w14:paraId="3EBB8580" w14:textId="77777777" w:rsidTr="006734B8">
        <w:trPr>
          <w:jc w:val="right"/>
        </w:trPr>
        <w:tc>
          <w:tcPr>
            <w:tcW w:w="433" w:type="pct"/>
            <w:vAlign w:val="center"/>
          </w:tcPr>
          <w:p w14:paraId="17025A58" w14:textId="77777777" w:rsidR="00000D32" w:rsidRPr="00074E91" w:rsidRDefault="006734B8" w:rsidP="00000D32">
            <w:pPr>
              <w:overflowPunct w:val="0"/>
              <w:autoSpaceDE w:val="0"/>
              <w:autoSpaceDN w:val="0"/>
              <w:adjustRightInd w:val="0"/>
              <w:spacing w:line="240" w:lineRule="atLeast"/>
              <w:contextualSpacing/>
              <w:jc w:val="center"/>
              <w:textAlignment w:val="baseline"/>
              <w:rPr>
                <w:rFonts w:eastAsia="Calibri" w:cs="Arial"/>
                <w:szCs w:val="20"/>
                <w:lang w:eastAsia="es-MX"/>
              </w:rPr>
            </w:pPr>
            <w:r w:rsidRPr="00074E91">
              <w:rPr>
                <w:rFonts w:eastAsia="Calibri" w:cs="Arial"/>
                <w:szCs w:val="20"/>
                <w:lang w:eastAsia="es-MX"/>
              </w:rPr>
              <w:t>4</w:t>
            </w:r>
          </w:p>
        </w:tc>
        <w:tc>
          <w:tcPr>
            <w:tcW w:w="4567" w:type="pct"/>
            <w:vAlign w:val="center"/>
          </w:tcPr>
          <w:p w14:paraId="505096F1" w14:textId="77777777" w:rsidR="00000D32" w:rsidRPr="00074E91" w:rsidRDefault="006734B8" w:rsidP="006734B8">
            <w:pPr>
              <w:numPr>
                <w:ilvl w:val="0"/>
                <w:numId w:val="1"/>
              </w:numPr>
              <w:spacing w:after="0" w:line="240" w:lineRule="atLeast"/>
              <w:rPr>
                <w:rFonts w:eastAsia="Calibri" w:cs="Arial"/>
                <w:szCs w:val="20"/>
                <w:lang w:eastAsia="es-MX"/>
              </w:rPr>
            </w:pPr>
            <w:r w:rsidRPr="00074E91">
              <w:rPr>
                <w:rFonts w:eastAsia="Calibri" w:cs="Arial"/>
                <w:szCs w:val="20"/>
                <w:lang w:eastAsia="es-MX"/>
              </w:rPr>
              <w:t xml:space="preserve">Sí se identifica contribución. </w:t>
            </w:r>
          </w:p>
        </w:tc>
      </w:tr>
    </w:tbl>
    <w:p w14:paraId="236D7AE2" w14:textId="45BEB453" w:rsidR="002C2271" w:rsidRPr="00074E91" w:rsidRDefault="00687562" w:rsidP="003B4EED">
      <w:pPr>
        <w:spacing w:before="240" w:after="120"/>
        <w:rPr>
          <w:rFonts w:cs="Arial"/>
        </w:rPr>
      </w:pPr>
      <w:r w:rsidRPr="00074E91">
        <w:rPr>
          <w:rFonts w:cs="Arial"/>
          <w:b/>
          <w:u w:val="single"/>
        </w:rPr>
        <w:t>Justificación:</w:t>
      </w:r>
      <w:r w:rsidR="003B4EED" w:rsidRPr="003B4EED">
        <w:rPr>
          <w:rFonts w:cs="Arial"/>
          <w:bCs/>
        </w:rPr>
        <w:t xml:space="preserve"> </w:t>
      </w:r>
      <w:r w:rsidR="006734B8" w:rsidRPr="00074E91">
        <w:rPr>
          <w:rFonts w:cs="Arial"/>
          <w:lang w:val="es-ES"/>
        </w:rPr>
        <w:t xml:space="preserve">La </w:t>
      </w:r>
      <w:r w:rsidR="002C2271" w:rsidRPr="00074E91">
        <w:rPr>
          <w:rFonts w:cs="Arial"/>
        </w:rPr>
        <w:t>El objetivo central del Pp “Servicios de Educación Superior y Posgrado de Calidad” —garantizar oferta pertinente, con docencia por competencias, tutorías, estadías, seguimiento de egresados, componente BIS/inglés y mejora continua— contribuye de manera directa al Objetivo Prioritario 4.1 del Programa de Educación derivado del PED Sinaloa: “Reinstalar y normalizar la vida orgánica de la Comisión Estatal para la Planeación de la Educación Superior (COEPES), atendiendo los lineamientos de la CONACES”, a través de estrategias explícitas que son plenamente afines al mecanismo de intervención del Pp.</w:t>
      </w:r>
    </w:p>
    <w:p w14:paraId="04CA550D" w14:textId="77777777" w:rsidR="0080219A" w:rsidRPr="00074E91" w:rsidRDefault="0080219A" w:rsidP="0080219A">
      <w:pPr>
        <w:rPr>
          <w:rFonts w:cs="Arial"/>
        </w:rPr>
      </w:pPr>
      <w:r w:rsidRPr="00074E91">
        <w:rPr>
          <w:rFonts w:cs="Arial"/>
        </w:rPr>
        <w:t>El objetivo central del Pp “Servicios de Educación Superior y Posgrado de Calidad” –que los habitantes de Sinaloa egresados de EMS en los últimos tres años, en los municipios de Culiacán, Navolato, Mocorito, Elota y El Dorado, cursen programas de educación superior técnica y profesional de calidad con capital humano de excelencia y vinculación con los sectores productivo y social– se encuentra claramente alineado con la planeación estatal establecida en el Programa Sectorial de Educación 2022-2027.</w:t>
      </w:r>
    </w:p>
    <w:p w14:paraId="2A524515" w14:textId="77777777" w:rsidR="0080219A" w:rsidRPr="00074E91" w:rsidRDefault="0080219A" w:rsidP="0080219A">
      <w:pPr>
        <w:rPr>
          <w:rFonts w:cs="Arial"/>
        </w:rPr>
      </w:pPr>
      <w:r w:rsidRPr="00074E91">
        <w:rPr>
          <w:rFonts w:cs="Arial"/>
        </w:rPr>
        <w:t>De acuerdo con la MIR y con el análisis del Anexo 9. Alineación a objetivos de la planeación estatal, la contribución principal se da a los siguientes objetivos y estrategias prioritarias:</w:t>
      </w:r>
    </w:p>
    <w:p w14:paraId="3DC85184" w14:textId="77777777" w:rsidR="0080219A" w:rsidRPr="00074E91" w:rsidRDefault="0080219A" w:rsidP="003B4EED">
      <w:pPr>
        <w:pStyle w:val="Prrafodelista"/>
        <w:numPr>
          <w:ilvl w:val="0"/>
          <w:numId w:val="81"/>
        </w:numPr>
        <w:spacing w:line="360" w:lineRule="auto"/>
        <w:rPr>
          <w:rFonts w:cs="Arial"/>
        </w:rPr>
      </w:pPr>
      <w:r w:rsidRPr="00074E91">
        <w:rPr>
          <w:rFonts w:cs="Arial"/>
        </w:rPr>
        <w:t>Objetivo prioritario 1.1 (política de educación incluyente): asegurar acceso y permanencia en una educación humanista, inclusiva, equitativa y de excelencia, con énfasis en población vulnerable.</w:t>
      </w:r>
    </w:p>
    <w:p w14:paraId="48EBF744" w14:textId="77777777" w:rsidR="0080219A" w:rsidRPr="00074E91" w:rsidRDefault="0080219A" w:rsidP="003B4EED">
      <w:pPr>
        <w:pStyle w:val="Prrafodelista"/>
        <w:spacing w:line="360" w:lineRule="auto"/>
        <w:rPr>
          <w:rFonts w:cs="Arial"/>
        </w:rPr>
      </w:pPr>
      <w:r w:rsidRPr="00074E91">
        <w:rPr>
          <w:rFonts w:cs="Arial"/>
        </w:rPr>
        <w:t>La UTC contribuye mediante la oferta de programas de TSU e Ingeniería, el modelo BIS, becas internas y tutorías para permanencia, además de acciones de inclusión y atención a estudiantes en situación de vulnerabilidad.</w:t>
      </w:r>
    </w:p>
    <w:p w14:paraId="1C2F2798" w14:textId="77777777" w:rsidR="0080219A" w:rsidRPr="00074E91" w:rsidRDefault="0080219A" w:rsidP="003B4EED">
      <w:pPr>
        <w:pStyle w:val="Prrafodelista"/>
        <w:numPr>
          <w:ilvl w:val="0"/>
          <w:numId w:val="81"/>
        </w:numPr>
        <w:spacing w:line="360" w:lineRule="auto"/>
        <w:rPr>
          <w:rFonts w:cs="Arial"/>
        </w:rPr>
      </w:pPr>
      <w:r w:rsidRPr="00074E91">
        <w:rPr>
          <w:rFonts w:cs="Arial"/>
        </w:rPr>
        <w:t>Objetivo prioritario 2.1 (política de educación pertinente y de calidad): incorporar al sistema educativo a quienes tienen la edad y requisitos para cursar educación, reduciendo abandono y fortaleciendo trayectorias educativas.</w:t>
      </w:r>
    </w:p>
    <w:p w14:paraId="580EBDE5" w14:textId="77777777" w:rsidR="0080219A" w:rsidRPr="00074E91" w:rsidRDefault="0080219A" w:rsidP="003B4EED">
      <w:pPr>
        <w:pStyle w:val="Prrafodelista"/>
        <w:spacing w:line="360" w:lineRule="auto"/>
        <w:rPr>
          <w:rFonts w:cs="Arial"/>
        </w:rPr>
      </w:pPr>
      <w:r w:rsidRPr="00074E91">
        <w:rPr>
          <w:rFonts w:cs="Arial"/>
        </w:rPr>
        <w:t>El Pp aporta al ampliar la cobertura de educación superior en la zona de influencia, disminuir el abandono a través de acompañamiento académico y consolidar trayectorias completas TSU–Ingeniería.</w:t>
      </w:r>
    </w:p>
    <w:p w14:paraId="064EAA52" w14:textId="77777777" w:rsidR="0080219A" w:rsidRPr="00074E91" w:rsidRDefault="0080219A" w:rsidP="003B4EED">
      <w:pPr>
        <w:pStyle w:val="Prrafodelista"/>
        <w:numPr>
          <w:ilvl w:val="0"/>
          <w:numId w:val="81"/>
        </w:numPr>
        <w:spacing w:line="360" w:lineRule="auto"/>
        <w:rPr>
          <w:rFonts w:cs="Arial"/>
        </w:rPr>
      </w:pPr>
      <w:r w:rsidRPr="00074E91">
        <w:rPr>
          <w:rFonts w:cs="Arial"/>
        </w:rPr>
        <w:t>Objetivo prioritario 3.1 (política de desarrollo docente): articular y fortalecer la formación y desarrollo profesional de docentes.</w:t>
      </w:r>
    </w:p>
    <w:p w14:paraId="12E8B993" w14:textId="77777777" w:rsidR="0080219A" w:rsidRPr="00074E91" w:rsidRDefault="0080219A" w:rsidP="003B4EED">
      <w:pPr>
        <w:pStyle w:val="Prrafodelista"/>
        <w:spacing w:line="360" w:lineRule="auto"/>
        <w:rPr>
          <w:rFonts w:cs="Arial"/>
        </w:rPr>
      </w:pPr>
      <w:r w:rsidRPr="00074E91">
        <w:rPr>
          <w:rFonts w:cs="Arial"/>
        </w:rPr>
        <w:lastRenderedPageBreak/>
        <w:t>La institución contribuye mediante programas de capacitación docente, participación en cuerpos académicos y actualización en el enfoque por competencias y BIS, elementos previstos en su PIDE y POA.</w:t>
      </w:r>
    </w:p>
    <w:p w14:paraId="4E9C7D93" w14:textId="77777777" w:rsidR="0080219A" w:rsidRPr="00074E91" w:rsidRDefault="0080219A" w:rsidP="003B4EED">
      <w:pPr>
        <w:pStyle w:val="Prrafodelista"/>
        <w:numPr>
          <w:ilvl w:val="0"/>
          <w:numId w:val="81"/>
        </w:numPr>
        <w:spacing w:line="360" w:lineRule="auto"/>
        <w:rPr>
          <w:rFonts w:cs="Arial"/>
        </w:rPr>
      </w:pPr>
      <w:r w:rsidRPr="00074E91">
        <w:rPr>
          <w:rFonts w:cs="Arial"/>
        </w:rPr>
        <w:t>Objetivo prioritario 4.1 (restablecer y normalizar la vida orgánica de la COEPES, en coordinación con CONACES).</w:t>
      </w:r>
    </w:p>
    <w:p w14:paraId="648A4884" w14:textId="77777777" w:rsidR="0080219A" w:rsidRPr="00074E91" w:rsidRDefault="0080219A" w:rsidP="0080219A">
      <w:pPr>
        <w:rPr>
          <w:rFonts w:cs="Arial"/>
        </w:rPr>
      </w:pPr>
      <w:r w:rsidRPr="00074E91">
        <w:rPr>
          <w:rFonts w:cs="Arial"/>
        </w:rPr>
        <w:t>La contribución es indirecta pero relevante: la UTC participa en los procesos estatales de planeación, evaluación y aseguramiento de la calidad de la educación superior, aporta información para la toma de decisiones y alinea su planeación institucional (PIDE, MIR, MML) con los criterios de aseguramiento de la calidad que se articulan en la COEPES.</w:t>
      </w:r>
    </w:p>
    <w:p w14:paraId="11271A12" w14:textId="77777777" w:rsidR="0080219A" w:rsidRPr="00074E91" w:rsidRDefault="0080219A" w:rsidP="0080219A">
      <w:pPr>
        <w:rPr>
          <w:rFonts w:cs="Arial"/>
        </w:rPr>
      </w:pPr>
      <w:r w:rsidRPr="00074E91">
        <w:rPr>
          <w:rFonts w:cs="Arial"/>
        </w:rPr>
        <w:t>La valoración de la instancia evaluadora es que la alineación es pertinente y consistente:</w:t>
      </w:r>
    </w:p>
    <w:p w14:paraId="776683D3" w14:textId="77777777" w:rsidR="0080219A" w:rsidRPr="00074E91" w:rsidRDefault="0080219A" w:rsidP="003B4EED">
      <w:pPr>
        <w:pStyle w:val="Prrafodelista"/>
        <w:numPr>
          <w:ilvl w:val="0"/>
          <w:numId w:val="80"/>
        </w:numPr>
        <w:spacing w:line="360" w:lineRule="auto"/>
        <w:rPr>
          <w:rFonts w:cs="Arial"/>
        </w:rPr>
      </w:pPr>
      <w:r w:rsidRPr="00074E91">
        <w:rPr>
          <w:rFonts w:cs="Arial"/>
        </w:rPr>
        <w:t>Los resultados esperados del Pp (mayor cobertura, eficiencia terminal, vinculación y calidad de programas) son coherentes con las metas de los objetivos 1.1, 2.1 y 3.1 del Programa Sectorial, y</w:t>
      </w:r>
    </w:p>
    <w:p w14:paraId="4067B3D0" w14:textId="43FA863A" w:rsidR="000D7495" w:rsidRDefault="0080219A" w:rsidP="000D7495">
      <w:pPr>
        <w:pStyle w:val="Prrafodelista"/>
        <w:numPr>
          <w:ilvl w:val="0"/>
          <w:numId w:val="80"/>
        </w:numPr>
        <w:spacing w:line="360" w:lineRule="auto"/>
        <w:rPr>
          <w:rFonts w:cs="Arial"/>
        </w:rPr>
      </w:pPr>
      <w:r w:rsidRPr="00074E91">
        <w:rPr>
          <w:rFonts w:cs="Arial"/>
        </w:rPr>
        <w:t>Las acciones de coordinación y participación en instancias estatales aportan a la reinstalación y funcionamiento orgánico de la COEPES (objetivo 4.1), aunque esta contribución no siempre se explicita en los documentos del Pp.</w:t>
      </w:r>
    </w:p>
    <w:p w14:paraId="70B6101E" w14:textId="77777777" w:rsidR="003B4EED" w:rsidRPr="003B4EED" w:rsidRDefault="003B4EED" w:rsidP="003B4EED">
      <w:pPr>
        <w:pStyle w:val="Prrafodelista"/>
        <w:spacing w:after="0" w:line="240" w:lineRule="auto"/>
        <w:rPr>
          <w:rFonts w:cs="Arial"/>
        </w:rPr>
      </w:pPr>
    </w:p>
    <w:p w14:paraId="08B328D6" w14:textId="77777777" w:rsidR="000D7495" w:rsidRPr="00074E91" w:rsidRDefault="000D7495" w:rsidP="000D7495">
      <w:pPr>
        <w:pStyle w:val="Prrafodelista"/>
        <w:numPr>
          <w:ilvl w:val="0"/>
          <w:numId w:val="13"/>
        </w:numPr>
        <w:spacing w:line="360" w:lineRule="auto"/>
        <w:rPr>
          <w:rFonts w:cs="Arial"/>
          <w:b/>
        </w:rPr>
      </w:pPr>
      <w:r w:rsidRPr="00074E91">
        <w:rPr>
          <w:rFonts w:cs="Arial"/>
          <w:b/>
        </w:rPr>
        <w:t>¿El objetivo central del Pp se vincula con los Objetivos de Desarrollo Sostenible (ODS) de la Agenda 2030?</w:t>
      </w:r>
    </w:p>
    <w:p w14:paraId="0CA934C1" w14:textId="63E4A66E" w:rsidR="000D7495" w:rsidRPr="00074E91" w:rsidRDefault="000D7495" w:rsidP="003B4EED">
      <w:pPr>
        <w:spacing w:before="240" w:after="120"/>
        <w:rPr>
          <w:rFonts w:cs="Arial"/>
        </w:rPr>
      </w:pPr>
      <w:r w:rsidRPr="00074E91">
        <w:rPr>
          <w:rFonts w:cs="Arial"/>
          <w:b/>
          <w:u w:val="single"/>
        </w:rPr>
        <w:t>Respuesta</w:t>
      </w:r>
      <w:r w:rsidRPr="00074E91">
        <w:rPr>
          <w:rFonts w:cs="Arial"/>
          <w:b/>
        </w:rPr>
        <w:t>:</w:t>
      </w:r>
      <w:r w:rsidR="003B4EED">
        <w:rPr>
          <w:rFonts w:cs="Arial"/>
          <w:b/>
        </w:rPr>
        <w:t xml:space="preserve"> </w:t>
      </w:r>
      <w:r w:rsidRPr="00074E91">
        <w:rPr>
          <w:rFonts w:cs="Arial"/>
        </w:rPr>
        <w:t>En la MIR del Pp “Servicios de Educación Superior y Posgrado de Calidad” se incluye un apartado específico de Objetivos del Desarrollo Sostenible (ODS) donde se vincula el programa con el ODS 4. Garantizar una educación inclusiva, equitativa y de calidad y promover oportunidades de aprendizaje durante toda la vida para todos, mediante las metas 4.3, 4.4, 4.5, 4.7 y 4.c, así como con el ODS 8. Promover el crecimiento económico sostenido, inclusivo y sostenible, el empleo pleno y productivo y el trabajo decente para todos, a través de la meta 8.6.</w:t>
      </w:r>
    </w:p>
    <w:p w14:paraId="52598623" w14:textId="77777777" w:rsidR="000D7495" w:rsidRPr="00074E91" w:rsidRDefault="000D7495" w:rsidP="000D7495">
      <w:pPr>
        <w:rPr>
          <w:rFonts w:cs="Arial"/>
        </w:rPr>
      </w:pPr>
      <w:r w:rsidRPr="00074E91">
        <w:rPr>
          <w:rFonts w:cs="Arial"/>
        </w:rPr>
        <w:t>El objetivo central del Pp —que las personas egresadas de Educación Media Superior en los últimos tres años, en los municipios de Culiacán, Navolato, Mocorito, Elota y El Dorado, cursen programas de educación superior (técnica y profesional) de calidad, con capital humano de excelencia y vinculación con los sectores productivo y social— guarda una correspondencia directa con:</w:t>
      </w:r>
    </w:p>
    <w:p w14:paraId="4F7BC521" w14:textId="77777777" w:rsidR="000D7495" w:rsidRPr="00074E91" w:rsidRDefault="000D7495" w:rsidP="003B4EED">
      <w:pPr>
        <w:pStyle w:val="Prrafodelista"/>
        <w:numPr>
          <w:ilvl w:val="0"/>
          <w:numId w:val="85"/>
        </w:numPr>
        <w:spacing w:line="360" w:lineRule="auto"/>
        <w:rPr>
          <w:rFonts w:cs="Arial"/>
        </w:rPr>
      </w:pPr>
      <w:r w:rsidRPr="00074E91">
        <w:rPr>
          <w:rFonts w:cs="Arial"/>
        </w:rPr>
        <w:t>Meta 4.3, al ampliar el acceso en condiciones de igualdad a la educación superior técnica y profesional para jóvenes egresados de EMS en el área de influencia de la UR.</w:t>
      </w:r>
    </w:p>
    <w:p w14:paraId="5A4669B7" w14:textId="77777777" w:rsidR="000D7495" w:rsidRPr="00074E91" w:rsidRDefault="000D7495" w:rsidP="003B4EED">
      <w:pPr>
        <w:pStyle w:val="Prrafodelista"/>
        <w:numPr>
          <w:ilvl w:val="0"/>
          <w:numId w:val="85"/>
        </w:numPr>
        <w:spacing w:line="360" w:lineRule="auto"/>
        <w:rPr>
          <w:rFonts w:cs="Arial"/>
        </w:rPr>
      </w:pPr>
      <w:r w:rsidRPr="00074E91">
        <w:rPr>
          <w:rFonts w:cs="Arial"/>
        </w:rPr>
        <w:lastRenderedPageBreak/>
        <w:t>Meta 4.4, al desarrollar competencias técnicas y profesionales mediante la formación por competencias, el uso de laboratorios y talleres, las estadías profesionales y el componente BIS (inglés y proyección internacional).</w:t>
      </w:r>
    </w:p>
    <w:p w14:paraId="5A526C71" w14:textId="77777777" w:rsidR="000D7495" w:rsidRPr="00074E91" w:rsidRDefault="000D7495" w:rsidP="003B4EED">
      <w:pPr>
        <w:pStyle w:val="Prrafodelista"/>
        <w:numPr>
          <w:ilvl w:val="0"/>
          <w:numId w:val="85"/>
        </w:numPr>
        <w:spacing w:line="360" w:lineRule="auto"/>
        <w:rPr>
          <w:rFonts w:cs="Arial"/>
        </w:rPr>
      </w:pPr>
      <w:r w:rsidRPr="00074E91">
        <w:rPr>
          <w:rFonts w:cs="Arial"/>
        </w:rPr>
        <w:t>Meta 4.5, al incorporar acciones de apoyo a población en situación de vulnerabilidad (becas internas, exoneraciones de colegiatura, tutorías y acompañamiento académico), que contribuyen a reducir brechas de acceso y permanencia, incluidas las asociadas al género.</w:t>
      </w:r>
    </w:p>
    <w:p w14:paraId="27171886" w14:textId="77777777" w:rsidR="000D7495" w:rsidRPr="00074E91" w:rsidRDefault="000D7495" w:rsidP="003B4EED">
      <w:pPr>
        <w:pStyle w:val="Prrafodelista"/>
        <w:numPr>
          <w:ilvl w:val="0"/>
          <w:numId w:val="85"/>
        </w:numPr>
        <w:spacing w:line="360" w:lineRule="auto"/>
        <w:rPr>
          <w:rFonts w:cs="Arial"/>
        </w:rPr>
      </w:pPr>
      <w:r w:rsidRPr="00074E91">
        <w:rPr>
          <w:rFonts w:cs="Arial"/>
        </w:rPr>
        <w:t>Meta 4.7, al integrar en el modelo educativo contenidos vinculados con desarrollo sostenible, cultura de paz, ciudadanía y valoración de la diversidad, en concordancia con el carácter “Sustentable” del modelo BIS y con el PIDE 2022–2027.</w:t>
      </w:r>
    </w:p>
    <w:p w14:paraId="3C148E9E" w14:textId="77777777" w:rsidR="000D7495" w:rsidRPr="00074E91" w:rsidRDefault="000D7495" w:rsidP="003B4EED">
      <w:pPr>
        <w:pStyle w:val="Prrafodelista"/>
        <w:numPr>
          <w:ilvl w:val="0"/>
          <w:numId w:val="85"/>
        </w:numPr>
        <w:spacing w:line="360" w:lineRule="auto"/>
        <w:rPr>
          <w:rFonts w:cs="Arial"/>
        </w:rPr>
      </w:pPr>
      <w:r w:rsidRPr="00074E91">
        <w:rPr>
          <w:rFonts w:cs="Arial"/>
        </w:rPr>
        <w:t>Meta 4.c, al contemplar en la planeación institucional la formación y actualización del personal docente, en línea con la política estatal de desarrollo profesional de las y los profesores de educación superior.</w:t>
      </w:r>
    </w:p>
    <w:p w14:paraId="7BB0173D" w14:textId="049AC9DF" w:rsidR="000D7495" w:rsidRPr="00074E91" w:rsidRDefault="000D7495" w:rsidP="000D7495">
      <w:pPr>
        <w:rPr>
          <w:rFonts w:cs="Arial"/>
        </w:rPr>
      </w:pPr>
      <w:r w:rsidRPr="00074E91">
        <w:rPr>
          <w:rFonts w:cs="Arial"/>
        </w:rPr>
        <w:t>Respecto del ODS 8, la vinculación a la meta 8.6 se considera también directa, dado que el Pp estructura una ruta escuela–</w:t>
      </w:r>
      <w:r w:rsidR="003B4EED" w:rsidRPr="00074E91">
        <w:rPr>
          <w:rFonts w:cs="Arial"/>
        </w:rPr>
        <w:t>trabajo basado</w:t>
      </w:r>
      <w:r w:rsidRPr="00074E91">
        <w:rPr>
          <w:rFonts w:cs="Arial"/>
        </w:rPr>
        <w:t xml:space="preserve"> en estadías profesionales obligatorias, convenios con sectores productivos, bolsa de trabajo y mecanismos de seguimiento de egresados, lo que contribuye a disminuir la proporción de jóvenes que no estudian ni trabajan ni reciben capacitación, al menos en el ámbito de influencia de la UR.</w:t>
      </w:r>
    </w:p>
    <w:p w14:paraId="2D78892E" w14:textId="77777777" w:rsidR="000D7495" w:rsidRPr="00074E91" w:rsidRDefault="000D7495" w:rsidP="000D7495">
      <w:pPr>
        <w:rPr>
          <w:rFonts w:cs="Arial"/>
        </w:rPr>
      </w:pPr>
      <w:r w:rsidRPr="00074E91">
        <w:rPr>
          <w:rFonts w:cs="Arial"/>
        </w:rPr>
        <w:t>A partir del análisis de la operación del Pp en 2024 y de la información consignada en la MIR y en los documentos de planeación institucional, se identifica además una contribución indirecta a otros ODS:</w:t>
      </w:r>
    </w:p>
    <w:p w14:paraId="043373AB" w14:textId="77777777" w:rsidR="000D7495" w:rsidRPr="00074E91" w:rsidRDefault="000D7495" w:rsidP="000A4BBB">
      <w:pPr>
        <w:numPr>
          <w:ilvl w:val="0"/>
          <w:numId w:val="84"/>
        </w:numPr>
        <w:spacing w:line="240" w:lineRule="auto"/>
        <w:rPr>
          <w:rFonts w:cs="Arial"/>
        </w:rPr>
      </w:pPr>
      <w:r w:rsidRPr="00074E91">
        <w:rPr>
          <w:rFonts w:cs="Arial"/>
        </w:rPr>
        <w:t>ODS 5 Igualdad de género, a través de procesos de admisión y permanencia sin discriminación y de becas internas que apoyan especialmente a mujeres en situación de vulnerabilidad.</w:t>
      </w:r>
    </w:p>
    <w:p w14:paraId="44E92550" w14:textId="77777777" w:rsidR="000D7495" w:rsidRPr="00074E91" w:rsidRDefault="000D7495" w:rsidP="000A4BBB">
      <w:pPr>
        <w:numPr>
          <w:ilvl w:val="0"/>
          <w:numId w:val="84"/>
        </w:numPr>
        <w:spacing w:line="240" w:lineRule="auto"/>
        <w:rPr>
          <w:rFonts w:cs="Arial"/>
        </w:rPr>
      </w:pPr>
      <w:r w:rsidRPr="00074E91">
        <w:rPr>
          <w:rFonts w:cs="Arial"/>
        </w:rPr>
        <w:t>ODS 10 Reducción de las desigualdades, mediante acciones de apoyo académico y económico que favorecen la inclusión educativa de estudiantes de distintos contextos socioeconómicos.</w:t>
      </w:r>
    </w:p>
    <w:p w14:paraId="3F493EC3" w14:textId="77777777" w:rsidR="000D7495" w:rsidRPr="00074E91" w:rsidRDefault="000D7495" w:rsidP="000A4BBB">
      <w:pPr>
        <w:numPr>
          <w:ilvl w:val="0"/>
          <w:numId w:val="84"/>
        </w:numPr>
        <w:spacing w:line="240" w:lineRule="auto"/>
        <w:rPr>
          <w:rFonts w:cs="Arial"/>
        </w:rPr>
      </w:pPr>
      <w:r w:rsidRPr="00074E91">
        <w:rPr>
          <w:rFonts w:cs="Arial"/>
        </w:rPr>
        <w:t>ODS 12 Producción y consumo responsables, por la incorporación de contenidos y prácticas de desarrollo sostenible y uso responsable de recursos en diversos programas educativos y actividades extracurriculares.</w:t>
      </w:r>
    </w:p>
    <w:p w14:paraId="77F98A5D" w14:textId="77777777" w:rsidR="000D7495" w:rsidRPr="00074E91" w:rsidRDefault="000D7495" w:rsidP="000A4BBB">
      <w:pPr>
        <w:numPr>
          <w:ilvl w:val="0"/>
          <w:numId w:val="84"/>
        </w:numPr>
        <w:spacing w:line="240" w:lineRule="auto"/>
        <w:rPr>
          <w:rFonts w:cs="Arial"/>
        </w:rPr>
      </w:pPr>
      <w:r w:rsidRPr="00074E91">
        <w:rPr>
          <w:rFonts w:cs="Arial"/>
        </w:rPr>
        <w:t>ODS 16 Paz, justicia e instituciones sólidas, a través de mecanismos de transparencia, rendición de cuentas y evaluación del desempeño del Pp y de la propia UR.</w:t>
      </w:r>
    </w:p>
    <w:p w14:paraId="3B3E1596" w14:textId="77777777" w:rsidR="000D7495" w:rsidRPr="00074E91" w:rsidRDefault="000D7495" w:rsidP="000A4BBB">
      <w:pPr>
        <w:numPr>
          <w:ilvl w:val="0"/>
          <w:numId w:val="84"/>
        </w:numPr>
        <w:spacing w:line="240" w:lineRule="auto"/>
        <w:rPr>
          <w:rFonts w:cs="Arial"/>
        </w:rPr>
      </w:pPr>
      <w:r w:rsidRPr="00074E91">
        <w:rPr>
          <w:rFonts w:cs="Arial"/>
        </w:rPr>
        <w:t>ODS 17 Alianzas para lograr los objetivos, mediante la operación del Consejo de Vinculación y Pertinencia, la firma de convenios con empresas y organismos públicos y la coordinación con autoridades educativas federales y estatales.</w:t>
      </w:r>
    </w:p>
    <w:p w14:paraId="57CEE273" w14:textId="77777777" w:rsidR="000D7495" w:rsidRPr="00074E91" w:rsidRDefault="000D7495" w:rsidP="000D7495">
      <w:pPr>
        <w:rPr>
          <w:rFonts w:cs="Arial"/>
        </w:rPr>
      </w:pPr>
      <w:r w:rsidRPr="00074E91">
        <w:rPr>
          <w:rFonts w:cs="Arial"/>
        </w:rPr>
        <w:t xml:space="preserve">En síntesis, la evidencia disponible en la MIR y en los instrumentos de planeación muestra que la vinculación del objetivo central del Pp con los ODS es explícita y consistente en el caso de los ODS </w:t>
      </w:r>
      <w:r w:rsidRPr="00074E91">
        <w:rPr>
          <w:rFonts w:cs="Arial"/>
        </w:rPr>
        <w:lastRenderedPageBreak/>
        <w:t>4 y 8, y puede fortalecerse documentalmente para visibilizar de manera más clara los aportes indirectos a los ODS 5, 10, 12, 16 y 17, tal como se sistematiza en el Anexo 10.</w:t>
      </w:r>
    </w:p>
    <w:p w14:paraId="0C67C009" w14:textId="06B97BF0" w:rsidR="00401404" w:rsidRPr="00074E91" w:rsidRDefault="00401404" w:rsidP="00654F4F">
      <w:pPr>
        <w:pStyle w:val="Ttulo3"/>
        <w:rPr>
          <w:rFonts w:cs="Arial"/>
          <w:lang w:val="es-ES"/>
        </w:rPr>
      </w:pPr>
      <w:bookmarkStart w:id="55" w:name="_Toc227668606"/>
      <w:r w:rsidRPr="00074E91">
        <w:rPr>
          <w:rFonts w:cs="Arial"/>
          <w:lang w:val="es-ES"/>
        </w:rPr>
        <w:t>Sección V</w:t>
      </w:r>
      <w:r w:rsidR="0066203E" w:rsidRPr="00074E91">
        <w:rPr>
          <w:rFonts w:cs="Arial"/>
          <w:lang w:val="es-ES"/>
        </w:rPr>
        <w:t>I</w:t>
      </w:r>
      <w:r w:rsidRPr="00074E91">
        <w:rPr>
          <w:rFonts w:cs="Arial"/>
          <w:lang w:val="es-ES"/>
        </w:rPr>
        <w:t>I. Instrumento de Seguimiento del Desempeño</w:t>
      </w:r>
      <w:r w:rsidR="00CC57D1" w:rsidRPr="00074E91">
        <w:rPr>
          <w:rFonts w:cs="Arial"/>
          <w:lang w:val="es-ES"/>
        </w:rPr>
        <w:t xml:space="preserve"> (ISD)</w:t>
      </w:r>
      <w:bookmarkEnd w:id="55"/>
    </w:p>
    <w:p w14:paraId="033EC94D" w14:textId="77777777" w:rsidR="00401404" w:rsidRPr="00074E91" w:rsidRDefault="00401404" w:rsidP="00190ACD">
      <w:pPr>
        <w:pStyle w:val="Prrafodelista"/>
        <w:numPr>
          <w:ilvl w:val="0"/>
          <w:numId w:val="13"/>
        </w:numPr>
        <w:spacing w:line="360" w:lineRule="auto"/>
        <w:rPr>
          <w:rFonts w:cs="Arial"/>
          <w:b/>
        </w:rPr>
      </w:pPr>
      <w:r w:rsidRPr="00074E91">
        <w:rPr>
          <w:rFonts w:cs="Arial"/>
          <w:b/>
        </w:rPr>
        <w:t>¿El ISD del Pp permite obtener información relevante sobre los siguientes elementos de diseño del Pp?</w:t>
      </w:r>
    </w:p>
    <w:p w14:paraId="1ABD5303" w14:textId="77777777" w:rsidR="00401404" w:rsidRPr="00074E91" w:rsidRDefault="00401404" w:rsidP="00401404">
      <w:pPr>
        <w:spacing w:before="240" w:after="120"/>
        <w:rPr>
          <w:rFonts w:cs="Arial"/>
          <w:b/>
          <w:u w:val="single"/>
        </w:rPr>
      </w:pPr>
      <w:r w:rsidRPr="00074E91">
        <w:rPr>
          <w:rFonts w:cs="Arial"/>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713"/>
        <w:gridCol w:w="7524"/>
      </w:tblGrid>
      <w:tr w:rsidR="00401404" w:rsidRPr="00074E91" w14:paraId="3CE61508" w14:textId="77777777" w:rsidTr="008764C3">
        <w:trPr>
          <w:trHeight w:val="340"/>
          <w:tblHeader/>
          <w:jc w:val="right"/>
        </w:trPr>
        <w:tc>
          <w:tcPr>
            <w:tcW w:w="433" w:type="pct"/>
            <w:vMerge w:val="restart"/>
            <w:shd w:val="clear" w:color="auto" w:fill="7F7F7F" w:themeFill="text1" w:themeFillTint="80"/>
            <w:vAlign w:val="center"/>
          </w:tcPr>
          <w:p w14:paraId="6C264ADE" w14:textId="77777777" w:rsidR="00401404" w:rsidRPr="00074E91" w:rsidRDefault="00401404"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074E91">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14132102" w14:textId="77777777" w:rsidR="00401404" w:rsidRPr="00074E91" w:rsidRDefault="00401404"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074E91">
              <w:rPr>
                <w:rFonts w:eastAsia="Times" w:cs="Arial"/>
                <w:b/>
                <w:iCs/>
                <w:color w:val="FFFFFF" w:themeColor="background1"/>
                <w:szCs w:val="20"/>
                <w:lang w:eastAsia="es-MX"/>
              </w:rPr>
              <w:t>Criterios</w:t>
            </w:r>
          </w:p>
        </w:tc>
      </w:tr>
      <w:tr w:rsidR="00401404" w:rsidRPr="00074E91" w14:paraId="6F236E18" w14:textId="77777777" w:rsidTr="008764C3">
        <w:trPr>
          <w:jc w:val="right"/>
        </w:trPr>
        <w:tc>
          <w:tcPr>
            <w:tcW w:w="433" w:type="pct"/>
            <w:vMerge/>
            <w:vAlign w:val="center"/>
          </w:tcPr>
          <w:p w14:paraId="61C19C6F" w14:textId="77777777" w:rsidR="00401404" w:rsidRPr="00074E91" w:rsidRDefault="00401404" w:rsidP="00401404">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5B9B47EE" w14:textId="77777777" w:rsidR="00401404" w:rsidRPr="00074E91" w:rsidRDefault="00401404" w:rsidP="00401404">
            <w:pPr>
              <w:spacing w:after="0" w:line="240" w:lineRule="atLeast"/>
              <w:jc w:val="left"/>
              <w:rPr>
                <w:rFonts w:eastAsia="Calibri" w:cs="Arial"/>
                <w:szCs w:val="20"/>
                <w:lang w:eastAsia="es-MX"/>
              </w:rPr>
            </w:pPr>
            <w:r w:rsidRPr="00074E91">
              <w:rPr>
                <w:rFonts w:cs="Arial"/>
                <w:iCs/>
                <w:szCs w:val="20"/>
              </w:rPr>
              <w:t>El ISD permite obtener información relevante sobre:</w:t>
            </w:r>
          </w:p>
        </w:tc>
      </w:tr>
      <w:tr w:rsidR="00401404" w:rsidRPr="00074E91" w14:paraId="5BD0934F" w14:textId="77777777" w:rsidTr="004306CF">
        <w:trPr>
          <w:jc w:val="right"/>
        </w:trPr>
        <w:tc>
          <w:tcPr>
            <w:tcW w:w="433" w:type="pct"/>
            <w:vAlign w:val="center"/>
          </w:tcPr>
          <w:p w14:paraId="3D43797E" w14:textId="1C075BC2" w:rsidR="00401404" w:rsidRPr="00074E91" w:rsidRDefault="008C20DB" w:rsidP="00401404">
            <w:pPr>
              <w:overflowPunct w:val="0"/>
              <w:autoSpaceDE w:val="0"/>
              <w:autoSpaceDN w:val="0"/>
              <w:adjustRightInd w:val="0"/>
              <w:spacing w:line="240" w:lineRule="atLeast"/>
              <w:contextualSpacing/>
              <w:jc w:val="center"/>
              <w:textAlignment w:val="baseline"/>
              <w:rPr>
                <w:rFonts w:eastAsia="Calibri" w:cs="Arial"/>
                <w:szCs w:val="20"/>
                <w:lang w:eastAsia="es-MX"/>
              </w:rPr>
            </w:pPr>
            <w:r w:rsidRPr="00074E91">
              <w:rPr>
                <w:rFonts w:eastAsia="Calibri" w:cs="Arial"/>
                <w:szCs w:val="20"/>
                <w:lang w:eastAsia="es-MX"/>
              </w:rPr>
              <w:t>0</w:t>
            </w:r>
          </w:p>
        </w:tc>
        <w:tc>
          <w:tcPr>
            <w:tcW w:w="4567" w:type="pct"/>
            <w:vAlign w:val="center"/>
          </w:tcPr>
          <w:p w14:paraId="6098AA77" w14:textId="1C08356B" w:rsidR="00401404" w:rsidRPr="00074E91" w:rsidRDefault="001231E7" w:rsidP="004306CF">
            <w:pPr>
              <w:numPr>
                <w:ilvl w:val="0"/>
                <w:numId w:val="1"/>
              </w:numPr>
              <w:spacing w:after="0" w:line="240" w:lineRule="atLeast"/>
              <w:jc w:val="left"/>
              <w:rPr>
                <w:rFonts w:eastAsia="Calibri" w:cs="Arial"/>
                <w:szCs w:val="20"/>
                <w:lang w:eastAsia="es-MX"/>
              </w:rPr>
            </w:pPr>
            <w:r w:rsidRPr="00074E91">
              <w:rPr>
                <w:rFonts w:eastAsia="Calibri" w:cs="Arial"/>
                <w:szCs w:val="20"/>
                <w:lang w:eastAsia="es-MX"/>
              </w:rPr>
              <w:t>Ninguno</w:t>
            </w:r>
            <w:r w:rsidR="004306CF" w:rsidRPr="00074E91">
              <w:rPr>
                <w:rFonts w:eastAsia="Calibri" w:cs="Arial"/>
                <w:szCs w:val="20"/>
                <w:lang w:eastAsia="es-MX"/>
              </w:rPr>
              <w:t xml:space="preserve"> de los criterios de valoración </w:t>
            </w:r>
          </w:p>
        </w:tc>
      </w:tr>
    </w:tbl>
    <w:p w14:paraId="6218A60A" w14:textId="35EAAEEE" w:rsidR="002C2271" w:rsidRPr="00074E91" w:rsidRDefault="008764C3" w:rsidP="003B4EED">
      <w:pPr>
        <w:spacing w:before="240" w:after="120"/>
        <w:rPr>
          <w:rFonts w:cs="Arial"/>
        </w:rPr>
      </w:pPr>
      <w:r w:rsidRPr="00074E91">
        <w:rPr>
          <w:rFonts w:cs="Arial"/>
          <w:b/>
          <w:u w:val="single"/>
        </w:rPr>
        <w:t>Justificación:</w:t>
      </w:r>
      <w:r w:rsidR="003B4EED" w:rsidRPr="003B4EED">
        <w:rPr>
          <w:rFonts w:cs="Arial"/>
          <w:bCs/>
        </w:rPr>
        <w:t xml:space="preserve"> </w:t>
      </w:r>
      <w:r w:rsidR="002C2271" w:rsidRPr="00074E91">
        <w:rPr>
          <w:rFonts w:cs="Arial"/>
        </w:rPr>
        <w:t>El Instrumento de Seguimiento del Desempeño del Pp “Servicios de Educación Superior y Posgrado de Calidad” permite obtener información relevante y verificable sobre la gestión de procesos, la generación y entrega de bienes y servicios, y la cobertura de la población, con evidencias trazables en la MIR 2024, el POA, los registros de Control Escolar, los padrones de becas y el 911 Institución 2024–2025.</w:t>
      </w:r>
    </w:p>
    <w:p w14:paraId="66A6ADC4" w14:textId="66DA3500" w:rsidR="002C2271" w:rsidRPr="00074E91" w:rsidRDefault="002C2271" w:rsidP="002C2271">
      <w:pPr>
        <w:rPr>
          <w:rFonts w:cs="Arial"/>
        </w:rPr>
      </w:pPr>
      <w:r w:rsidRPr="00074E91">
        <w:rPr>
          <w:rFonts w:cs="Arial"/>
        </w:rPr>
        <w:t>La gestión operativa se monitorea a través de admisión e inscripción (aspirantes con ficha, aceptación e ingreso), matrícula atendida y retención por periodo, asignación de tutor por grupo y seguimiento cuatrimestral, programación y realización de estadías profesionales por PE y empresa receptora, operación de convenios de vinculación y difusión/otorgamiento de becas institucionales (en 2024 se otorgaron 100, 208 y 135 becas en C</w:t>
      </w:r>
      <w:r w:rsidR="003703C2" w:rsidRPr="00074E91">
        <w:rPr>
          <w:rFonts w:cs="Arial"/>
        </w:rPr>
        <w:t xml:space="preserve">uatrimestre </w:t>
      </w:r>
      <w:r w:rsidRPr="00074E91">
        <w:rPr>
          <w:rFonts w:cs="Arial"/>
        </w:rPr>
        <w:t>1,2 y 3; en 2025, 204, 50 y 74, respectivamente).</w:t>
      </w:r>
    </w:p>
    <w:p w14:paraId="236513C4" w14:textId="77777777" w:rsidR="002C2271" w:rsidRPr="00074E91" w:rsidRDefault="002C2271" w:rsidP="002C2271">
      <w:pPr>
        <w:rPr>
          <w:rFonts w:cs="Arial"/>
        </w:rPr>
      </w:pPr>
      <w:r w:rsidRPr="00074E91">
        <w:rPr>
          <w:rFonts w:cs="Arial"/>
        </w:rPr>
        <w:t>La entrega de componentes académicos y de apoyo se acredita con el uso de la infraestructura reportada (35 aulas, 17 laboratorios, 2 centros de cómputo y biblioteca) y con procedimientos vigentes de Tutorías, Estadías y Servicios Escolares; la cobertura puede calcularse al menos a nivel institucional mediante la relación atendida/objetivo (A/O), que para 2023–2024 y 2024–2025 se aproxima al 100% en los cortes disponibles, quedando ciertos desgloses por PE y cierres de ciclo clasificados como ND hasta concluir el periodo.</w:t>
      </w:r>
    </w:p>
    <w:p w14:paraId="77B41EB1" w14:textId="77777777" w:rsidR="002C2271" w:rsidRPr="00074E91" w:rsidRDefault="002C2271" w:rsidP="002C2271">
      <w:pPr>
        <w:rPr>
          <w:rFonts w:cs="Arial"/>
        </w:rPr>
      </w:pPr>
      <w:r w:rsidRPr="00074E91">
        <w:rPr>
          <w:rFonts w:cs="Arial"/>
        </w:rPr>
        <w:t>Lo que impide asignar el nivel 4 es que el ISD todavía no integra, de manera consolidada, una variable de resultado del Propósito con ficha técnica completa y medición observada en 2024 (por ejemplo, eficiencia terminal institucional, tasa de titulación en ≤6 meses o inserción laboral a 6–12 meses), con línea base, meta anual, fórmula, unidad, periodicidad y fuente documentada; asimismo, algunos desgloses de cobertura y de uso efectivo de convenios permanecen en integración.</w:t>
      </w:r>
    </w:p>
    <w:p w14:paraId="7AD8AD38" w14:textId="50A33A2C" w:rsidR="008C20DB" w:rsidRPr="00074E91" w:rsidRDefault="008C20DB" w:rsidP="008C20DB">
      <w:pPr>
        <w:rPr>
          <w:rFonts w:cs="Arial"/>
        </w:rPr>
      </w:pPr>
      <w:r w:rsidRPr="00074E91">
        <w:rPr>
          <w:rFonts w:cs="Arial"/>
        </w:rPr>
        <w:lastRenderedPageBreak/>
        <w:t>El ISD del Pp “Servicios de Educación Superior y Posgrado de Calidad” genera información relevante y verificable sobre la operación del programa, incluyendo la gestión de procesos, la entrega de servicios y la cobertura de la población, con respaldo en instrumentos como la MIR, el P</w:t>
      </w:r>
      <w:r w:rsidR="005F7C75" w:rsidRPr="00074E91">
        <w:rPr>
          <w:rFonts w:cs="Arial"/>
        </w:rPr>
        <w:t>OA y registros institucionales.</w:t>
      </w:r>
    </w:p>
    <w:p w14:paraId="1B421082" w14:textId="166304F4" w:rsidR="008C20DB" w:rsidRPr="00074E91" w:rsidRDefault="008C20DB" w:rsidP="008C20DB">
      <w:pPr>
        <w:rPr>
          <w:rFonts w:cs="Arial"/>
        </w:rPr>
      </w:pPr>
      <w:r w:rsidRPr="00074E91">
        <w:rPr>
          <w:rFonts w:cs="Arial"/>
        </w:rPr>
        <w:t>Se da seguimiento a procesos clave como admisión, matrícula, retención, tutorías, estadías y becas, evidenciando la operación del programa y la utilización de infraestructura académica. Asimismo, la cobertura institucional se aproxima al 100%, lo que refleja un adecuado alcance en la atención de la población objetivo.</w:t>
      </w:r>
    </w:p>
    <w:p w14:paraId="6B792D35" w14:textId="7C8428B4" w:rsidR="008C20DB" w:rsidRPr="00074E91" w:rsidRDefault="008C20DB" w:rsidP="008C20DB">
      <w:pPr>
        <w:rPr>
          <w:rFonts w:cs="Arial"/>
        </w:rPr>
      </w:pPr>
      <w:r w:rsidRPr="00074E91">
        <w:rPr>
          <w:rFonts w:cs="Arial"/>
        </w:rPr>
        <w:t>No obstante, la información presentada no es consistente con la publicada en el Tomo IV de la LIPESS, lo que impide corroborar su validez y limita la certeza sobre la calidad de los indicadores reportados. En consecuencia, no es posible asegurar que los indicadores del Pp cumplan con los criterios establecidos, ya que no se puede verificar que sean claros y comprensibles, que aporten información relevante sobre lo que se pretende medir, que su generación implique un costo razonable, que sean susceptibles de monitoreo y verificación independiente, ni que proporcionen información suficiente y adecuada para evaluar el desempeño del programa.</w:t>
      </w:r>
    </w:p>
    <w:p w14:paraId="2C2B627B" w14:textId="77777777" w:rsidR="00B036F6" w:rsidRPr="00074E91" w:rsidRDefault="00B036F6" w:rsidP="00190ACD">
      <w:pPr>
        <w:pStyle w:val="Prrafodelista"/>
        <w:numPr>
          <w:ilvl w:val="0"/>
          <w:numId w:val="13"/>
        </w:numPr>
        <w:spacing w:line="360" w:lineRule="auto"/>
        <w:rPr>
          <w:rFonts w:cs="Arial"/>
          <w:b/>
        </w:rPr>
      </w:pPr>
      <w:r w:rsidRPr="00074E91">
        <w:rPr>
          <w:rFonts w:cs="Arial"/>
          <w:b/>
        </w:rPr>
        <w:t>¿</w:t>
      </w:r>
      <w:r w:rsidR="009A4D5F" w:rsidRPr="00074E91">
        <w:rPr>
          <w:rFonts w:cs="Arial"/>
          <w:b/>
        </w:rPr>
        <w:t>Los indicadores que integran el ISD del Pp cumplen con los siguientes criterios</w:t>
      </w:r>
      <w:r w:rsidRPr="00074E91">
        <w:rPr>
          <w:rFonts w:cs="Arial"/>
          <w:b/>
        </w:rPr>
        <w:t>?</w:t>
      </w:r>
    </w:p>
    <w:p w14:paraId="176DD02B" w14:textId="77777777" w:rsidR="00B036F6" w:rsidRPr="00074E91" w:rsidRDefault="00B036F6" w:rsidP="00B036F6">
      <w:pPr>
        <w:spacing w:before="240" w:after="120"/>
        <w:rPr>
          <w:rFonts w:cs="Arial"/>
          <w:b/>
          <w:u w:val="single"/>
        </w:rPr>
      </w:pPr>
      <w:r w:rsidRPr="00074E91">
        <w:rPr>
          <w:rFonts w:cs="Arial"/>
          <w:b/>
          <w:u w:val="single"/>
        </w:rPr>
        <w:t>Criterios de valoración:</w:t>
      </w:r>
    </w:p>
    <w:p w14:paraId="6AD7C009" w14:textId="77777777" w:rsidR="009A4D5F" w:rsidRPr="00074E91" w:rsidRDefault="009A4D5F" w:rsidP="00190ACD">
      <w:pPr>
        <w:pStyle w:val="Prrafodelista"/>
        <w:numPr>
          <w:ilvl w:val="0"/>
          <w:numId w:val="45"/>
        </w:numPr>
        <w:spacing w:line="360" w:lineRule="auto"/>
        <w:rPr>
          <w:rFonts w:cs="Arial"/>
        </w:rPr>
      </w:pPr>
      <w:r w:rsidRPr="00074E91">
        <w:rPr>
          <w:rFonts w:cs="Arial"/>
        </w:rPr>
        <w:t xml:space="preserve">Es claro, el nombre del indicador es entendible, no presenta ambigüedades y no contiene términos o acrónimos que dificulten su comprensión y, si los contiene, estos se encuentran definidos. </w:t>
      </w:r>
    </w:p>
    <w:p w14:paraId="71EEFEDF" w14:textId="77777777" w:rsidR="009A4D5F" w:rsidRPr="00074E91" w:rsidRDefault="009A4D5F" w:rsidP="00190ACD">
      <w:pPr>
        <w:pStyle w:val="Prrafodelista"/>
        <w:numPr>
          <w:ilvl w:val="0"/>
          <w:numId w:val="45"/>
        </w:numPr>
        <w:spacing w:line="360" w:lineRule="auto"/>
        <w:rPr>
          <w:rFonts w:cs="Arial"/>
        </w:rPr>
      </w:pPr>
      <w:r w:rsidRPr="00074E91">
        <w:rPr>
          <w:rFonts w:cs="Arial"/>
        </w:rPr>
        <w:t>Es relevante, provee información valiosa sobre aquello que se quiere medir.</w:t>
      </w:r>
    </w:p>
    <w:p w14:paraId="78B49689" w14:textId="77777777" w:rsidR="009A4D5F" w:rsidRPr="00074E91" w:rsidRDefault="009A4D5F" w:rsidP="00190ACD">
      <w:pPr>
        <w:pStyle w:val="Prrafodelista"/>
        <w:numPr>
          <w:ilvl w:val="0"/>
          <w:numId w:val="45"/>
        </w:numPr>
        <w:spacing w:line="360" w:lineRule="auto"/>
        <w:rPr>
          <w:rFonts w:cs="Arial"/>
        </w:rPr>
      </w:pPr>
      <w:r w:rsidRPr="00074E91">
        <w:rPr>
          <w:rFonts w:cs="Arial"/>
        </w:rPr>
        <w:t>Es económico, la información para generar el indicador está disponible a un costo razonable.</w:t>
      </w:r>
    </w:p>
    <w:p w14:paraId="43000AC4" w14:textId="77777777" w:rsidR="009A4D5F" w:rsidRPr="00074E91" w:rsidRDefault="009A4D5F" w:rsidP="00190ACD">
      <w:pPr>
        <w:pStyle w:val="Prrafodelista"/>
        <w:numPr>
          <w:ilvl w:val="0"/>
          <w:numId w:val="45"/>
        </w:numPr>
        <w:spacing w:line="360" w:lineRule="auto"/>
        <w:rPr>
          <w:rFonts w:cs="Arial"/>
        </w:rPr>
      </w:pPr>
      <w:r w:rsidRPr="00074E91">
        <w:rPr>
          <w:rFonts w:cs="Arial"/>
        </w:rPr>
        <w:t>Es monitoreable, permite su estimación, verificación independiente, así como su trazabilidad.</w:t>
      </w:r>
    </w:p>
    <w:p w14:paraId="73A9EAED" w14:textId="77777777" w:rsidR="009A4D5F" w:rsidRPr="00074E91" w:rsidRDefault="009A4D5F" w:rsidP="00190ACD">
      <w:pPr>
        <w:pStyle w:val="Prrafodelista"/>
        <w:numPr>
          <w:ilvl w:val="0"/>
          <w:numId w:val="45"/>
        </w:numPr>
        <w:spacing w:line="360" w:lineRule="auto"/>
        <w:rPr>
          <w:rFonts w:cs="Arial"/>
        </w:rPr>
      </w:pPr>
      <w:r w:rsidRPr="00074E91">
        <w:rPr>
          <w:rFonts w:cs="Arial"/>
        </w:rPr>
        <w:t>Es adecuado, provee información suficiente para medir, evaluar o valorar el desempeño del Pp.</w:t>
      </w:r>
    </w:p>
    <w:p w14:paraId="58A66B40" w14:textId="77777777" w:rsidR="00B036F6" w:rsidRPr="00074E91" w:rsidRDefault="00B036F6" w:rsidP="00B036F6">
      <w:pPr>
        <w:spacing w:before="240" w:after="120"/>
        <w:rPr>
          <w:rFonts w:cs="Arial"/>
          <w:b/>
          <w:u w:val="single"/>
        </w:rPr>
      </w:pPr>
      <w:r w:rsidRPr="00074E91">
        <w:rPr>
          <w:rFonts w:cs="Arial"/>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713"/>
        <w:gridCol w:w="7524"/>
      </w:tblGrid>
      <w:tr w:rsidR="00B036F6" w:rsidRPr="00074E91" w14:paraId="2DC0BDB0" w14:textId="77777777" w:rsidTr="008764C3">
        <w:trPr>
          <w:trHeight w:val="340"/>
          <w:tblHeader/>
          <w:jc w:val="right"/>
        </w:trPr>
        <w:tc>
          <w:tcPr>
            <w:tcW w:w="433" w:type="pct"/>
            <w:vMerge w:val="restart"/>
            <w:shd w:val="clear" w:color="auto" w:fill="7F7F7F" w:themeFill="text1" w:themeFillTint="80"/>
            <w:vAlign w:val="center"/>
          </w:tcPr>
          <w:p w14:paraId="036D587C" w14:textId="77777777" w:rsidR="00B036F6" w:rsidRPr="00074E91" w:rsidRDefault="00B036F6"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074E91">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14E8458C" w14:textId="77777777" w:rsidR="00B036F6" w:rsidRPr="00074E91" w:rsidRDefault="00B036F6"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074E91">
              <w:rPr>
                <w:rFonts w:eastAsia="Times" w:cs="Arial"/>
                <w:b/>
                <w:iCs/>
                <w:color w:val="FFFFFF" w:themeColor="background1"/>
                <w:szCs w:val="20"/>
                <w:lang w:eastAsia="es-MX"/>
              </w:rPr>
              <w:t>Criterios</w:t>
            </w:r>
          </w:p>
        </w:tc>
      </w:tr>
      <w:tr w:rsidR="00B036F6" w:rsidRPr="00074E91" w14:paraId="43BF43D2" w14:textId="77777777" w:rsidTr="008764C3">
        <w:trPr>
          <w:jc w:val="right"/>
        </w:trPr>
        <w:tc>
          <w:tcPr>
            <w:tcW w:w="433" w:type="pct"/>
            <w:vMerge/>
            <w:vAlign w:val="center"/>
          </w:tcPr>
          <w:p w14:paraId="5639DAC2" w14:textId="77777777" w:rsidR="00B036F6" w:rsidRPr="00074E91" w:rsidRDefault="00B036F6"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048A2BCE" w14:textId="77777777" w:rsidR="00B036F6" w:rsidRPr="00074E91" w:rsidRDefault="009A4D5F" w:rsidP="00FC66EE">
            <w:pPr>
              <w:spacing w:after="0" w:line="240" w:lineRule="atLeast"/>
              <w:jc w:val="left"/>
              <w:rPr>
                <w:rFonts w:eastAsia="Calibri" w:cs="Arial"/>
                <w:szCs w:val="20"/>
                <w:lang w:eastAsia="es-MX"/>
              </w:rPr>
            </w:pPr>
            <w:r w:rsidRPr="00074E91">
              <w:rPr>
                <w:rFonts w:eastAsia="Calibri" w:cs="Arial"/>
                <w:szCs w:val="20"/>
                <w:lang w:eastAsia="es-MX"/>
              </w:rPr>
              <w:t>El indicador cumple con:</w:t>
            </w:r>
          </w:p>
        </w:tc>
      </w:tr>
      <w:tr w:rsidR="00B036F6" w:rsidRPr="00074E91" w14:paraId="1B011440" w14:textId="77777777" w:rsidTr="003D13D6">
        <w:trPr>
          <w:jc w:val="right"/>
        </w:trPr>
        <w:tc>
          <w:tcPr>
            <w:tcW w:w="433" w:type="pct"/>
            <w:vAlign w:val="center"/>
          </w:tcPr>
          <w:p w14:paraId="1B999BCB" w14:textId="749BBCDC" w:rsidR="00B036F6" w:rsidRPr="00074E91" w:rsidRDefault="007332FE"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sidRPr="00074E91">
              <w:rPr>
                <w:rFonts w:eastAsia="Calibri" w:cs="Arial"/>
                <w:szCs w:val="20"/>
                <w:lang w:eastAsia="es-MX"/>
              </w:rPr>
              <w:t>0</w:t>
            </w:r>
          </w:p>
        </w:tc>
        <w:tc>
          <w:tcPr>
            <w:tcW w:w="4567" w:type="pct"/>
            <w:vAlign w:val="center"/>
          </w:tcPr>
          <w:p w14:paraId="6EFA7FAD" w14:textId="49DFFF03" w:rsidR="00B036F6" w:rsidRPr="00074E91" w:rsidRDefault="001231E7" w:rsidP="003D13D6">
            <w:pPr>
              <w:numPr>
                <w:ilvl w:val="0"/>
                <w:numId w:val="1"/>
              </w:numPr>
              <w:spacing w:after="0" w:line="240" w:lineRule="atLeast"/>
              <w:jc w:val="left"/>
              <w:rPr>
                <w:rFonts w:eastAsia="Calibri" w:cs="Arial"/>
                <w:szCs w:val="20"/>
                <w:lang w:eastAsia="es-MX"/>
              </w:rPr>
            </w:pPr>
            <w:r w:rsidRPr="00074E91">
              <w:rPr>
                <w:rFonts w:eastAsia="Calibri" w:cs="Arial"/>
                <w:szCs w:val="20"/>
                <w:lang w:eastAsia="es-MX"/>
              </w:rPr>
              <w:t>Ninguno</w:t>
            </w:r>
            <w:r w:rsidR="003D13D6" w:rsidRPr="00074E91">
              <w:rPr>
                <w:rFonts w:eastAsia="Calibri" w:cs="Arial"/>
                <w:szCs w:val="20"/>
                <w:lang w:eastAsia="es-MX"/>
              </w:rPr>
              <w:t xml:space="preserve"> de los criterios de valoración. </w:t>
            </w:r>
          </w:p>
        </w:tc>
      </w:tr>
    </w:tbl>
    <w:p w14:paraId="75FC653A" w14:textId="166E0BA7" w:rsidR="0009703A" w:rsidRPr="00074E91" w:rsidRDefault="008764C3" w:rsidP="003B4EED">
      <w:pPr>
        <w:spacing w:before="240" w:after="120"/>
        <w:rPr>
          <w:rFonts w:cs="Arial"/>
        </w:rPr>
      </w:pPr>
      <w:r w:rsidRPr="00074E91">
        <w:rPr>
          <w:rFonts w:cs="Arial"/>
          <w:b/>
          <w:u w:val="single"/>
        </w:rPr>
        <w:lastRenderedPageBreak/>
        <w:t>Justificación:</w:t>
      </w:r>
      <w:r w:rsidR="003B4EED" w:rsidRPr="003B4EED">
        <w:rPr>
          <w:rFonts w:cs="Arial"/>
          <w:bCs/>
        </w:rPr>
        <w:t xml:space="preserve"> </w:t>
      </w:r>
      <w:r w:rsidR="007332FE" w:rsidRPr="00074E91">
        <w:rPr>
          <w:rFonts w:cs="Arial"/>
        </w:rPr>
        <w:t xml:space="preserve">La UR evaluada del Pp presento </w:t>
      </w:r>
      <w:r w:rsidR="00385CF3" w:rsidRPr="00074E91">
        <w:rPr>
          <w:rFonts w:cs="Arial"/>
        </w:rPr>
        <w:t>una MIR</w:t>
      </w:r>
      <w:r w:rsidR="007332FE" w:rsidRPr="00074E91">
        <w:rPr>
          <w:rFonts w:cs="Arial"/>
        </w:rPr>
        <w:t xml:space="preserve"> e Instrumentos de Seguimiento del Desempeño que muestra </w:t>
      </w:r>
      <w:r w:rsidR="00385CF3" w:rsidRPr="00074E91">
        <w:rPr>
          <w:rFonts w:cs="Arial"/>
        </w:rPr>
        <w:t>que los</w:t>
      </w:r>
      <w:r w:rsidR="007332FE" w:rsidRPr="00074E91">
        <w:rPr>
          <w:rFonts w:cs="Arial"/>
        </w:rPr>
        <w:t xml:space="preserve"> indicadores en todos los niveles (Fin, Propósito, Componentes y Actividades) cumplen adecuadamente con los criterios de claridad, al presentar nombres comprensibles y acrónimos definidos. En términos de relevancia, los indicadores están directamente vinculados con los objetivos del programa, ya que permiten medir desde el impacto en el nivel educativo de la población hasta la operación y gestión de los procesos clave. Asimismo, el criterio de economía se satisface, dado que la información proviene principalmente de registros administrativos y sistemas existentes, sin requerir costos adicionales significativos. La monitoreabilidad también se cumple al contar con definiciones, métodos de cálculo y medios de verificación claros. Finalmente, el conjunto de indicadores resulta adecuado para evaluar el desempeño del programa; no obstante, se identifica la oportunidad de fortalecer la medición de resultados mediante la incorporación de indicadores sobre inserción laboral, logro BIS y desagregaciones por sexo y condiciones prioritarias</w:t>
      </w:r>
      <w:r w:rsidR="0009703A" w:rsidRPr="00074E91">
        <w:rPr>
          <w:rFonts w:cs="Arial"/>
        </w:rPr>
        <w:t xml:space="preserve">. </w:t>
      </w:r>
    </w:p>
    <w:p w14:paraId="66BBA7F0" w14:textId="7EC022AC" w:rsidR="007332FE" w:rsidRPr="00074E91" w:rsidRDefault="007332FE" w:rsidP="0009703A">
      <w:pPr>
        <w:rPr>
          <w:rFonts w:cs="Arial"/>
        </w:rPr>
      </w:pPr>
      <w:r w:rsidRPr="00074E91">
        <w:rPr>
          <w:rFonts w:cs="Arial"/>
        </w:rPr>
        <w:t>No obstante, la información presentada no es consistente con la publicada en el Tomo IV de la LIPESS, lo que impide corroborar su validez y limita la certeza sobre la calidad de los indicadores reportados. En consecuencia, no es posible asegurar que los indicadores del Pp cumplan con los criterios establecidos, ya que no se puede verificar que sean claros y comprensibles, que aporten información relevante sobre lo que se pretende medir, que su generación implique un costo razonable, que sean susceptibles de monitoreo y verificación independiente, ni que proporcionen información suficiente y adecuada para evaluar el desempeño del programa.</w:t>
      </w:r>
    </w:p>
    <w:p w14:paraId="0EEB8373" w14:textId="77777777" w:rsidR="009A4D5F" w:rsidRPr="00074E91" w:rsidRDefault="009A4D5F" w:rsidP="00190ACD">
      <w:pPr>
        <w:pStyle w:val="Prrafodelista"/>
        <w:numPr>
          <w:ilvl w:val="0"/>
          <w:numId w:val="13"/>
        </w:numPr>
        <w:spacing w:line="360" w:lineRule="auto"/>
        <w:rPr>
          <w:rFonts w:cs="Arial"/>
          <w:b/>
        </w:rPr>
      </w:pPr>
      <w:r w:rsidRPr="00074E91">
        <w:rPr>
          <w:rFonts w:cs="Arial"/>
          <w:b/>
        </w:rPr>
        <w:t>¿Los medios de verificación de los indicadores que integran el ISD del Pp, cumplen con los siguientes criterios?</w:t>
      </w:r>
    </w:p>
    <w:p w14:paraId="7C1E7BFC" w14:textId="77777777" w:rsidR="002472F2" w:rsidRPr="00074E91" w:rsidRDefault="002472F2" w:rsidP="002472F2">
      <w:pPr>
        <w:spacing w:before="240" w:after="120"/>
        <w:rPr>
          <w:rFonts w:cs="Arial"/>
          <w:b/>
          <w:u w:val="single"/>
        </w:rPr>
      </w:pPr>
      <w:r w:rsidRPr="00074E91">
        <w:rPr>
          <w:rFonts w:cs="Arial"/>
          <w:b/>
          <w:u w:val="single"/>
        </w:rPr>
        <w:t>Criterios de valoración:</w:t>
      </w:r>
    </w:p>
    <w:p w14:paraId="38876F01" w14:textId="77777777" w:rsidR="009A4D5F" w:rsidRPr="00074E91" w:rsidRDefault="009A4D5F" w:rsidP="00190ACD">
      <w:pPr>
        <w:pStyle w:val="Prrafodelista"/>
        <w:numPr>
          <w:ilvl w:val="0"/>
          <w:numId w:val="46"/>
        </w:numPr>
        <w:spacing w:line="360" w:lineRule="auto"/>
        <w:rPr>
          <w:rFonts w:cs="Arial"/>
        </w:rPr>
      </w:pPr>
      <w:r w:rsidRPr="00074E91">
        <w:rPr>
          <w:rFonts w:cs="Arial"/>
        </w:rPr>
        <w:t xml:space="preserve">Presentan el nombre completo del documento donde se encuentra la información. </w:t>
      </w:r>
    </w:p>
    <w:p w14:paraId="3EBA47F7" w14:textId="77777777" w:rsidR="009A4D5F" w:rsidRPr="00074E91" w:rsidRDefault="009A4D5F" w:rsidP="00190ACD">
      <w:pPr>
        <w:pStyle w:val="Prrafodelista"/>
        <w:numPr>
          <w:ilvl w:val="0"/>
          <w:numId w:val="46"/>
        </w:numPr>
        <w:spacing w:line="360" w:lineRule="auto"/>
        <w:rPr>
          <w:rFonts w:cs="Arial"/>
        </w:rPr>
      </w:pPr>
      <w:r w:rsidRPr="00074E91">
        <w:rPr>
          <w:rFonts w:cs="Arial"/>
        </w:rPr>
        <w:t>Incluyen el nombre del área administrativa que genera o publica la información.</w:t>
      </w:r>
    </w:p>
    <w:p w14:paraId="0B6796F7" w14:textId="77777777" w:rsidR="009A4D5F" w:rsidRPr="00074E91" w:rsidRDefault="009A4D5F" w:rsidP="00190ACD">
      <w:pPr>
        <w:pStyle w:val="Prrafodelista"/>
        <w:numPr>
          <w:ilvl w:val="0"/>
          <w:numId w:val="46"/>
        </w:numPr>
        <w:spacing w:line="360" w:lineRule="auto"/>
        <w:rPr>
          <w:rFonts w:cs="Arial"/>
        </w:rPr>
      </w:pPr>
      <w:r w:rsidRPr="00074E91">
        <w:rPr>
          <w:rFonts w:cs="Arial"/>
        </w:rPr>
        <w:t>Especifican el año o periodo en que se emite el documento y éste coincide con la frecuencia de medición del indicador.</w:t>
      </w:r>
    </w:p>
    <w:p w14:paraId="2017391B" w14:textId="77777777" w:rsidR="009A4D5F" w:rsidRPr="00074E91" w:rsidRDefault="009A4D5F" w:rsidP="00190ACD">
      <w:pPr>
        <w:pStyle w:val="Prrafodelista"/>
        <w:numPr>
          <w:ilvl w:val="0"/>
          <w:numId w:val="46"/>
        </w:numPr>
        <w:spacing w:line="360" w:lineRule="auto"/>
        <w:rPr>
          <w:rFonts w:cs="Arial"/>
        </w:rPr>
      </w:pPr>
      <w:r w:rsidRPr="00074E91">
        <w:rPr>
          <w:rFonts w:cs="Arial"/>
        </w:rPr>
        <w:t>Indican la ubicación física del documento o, en su caso, la liga de la página electrónica donde se encuentra publicada la información.</w:t>
      </w:r>
    </w:p>
    <w:p w14:paraId="35F67D34" w14:textId="77777777" w:rsidR="009A4D5F" w:rsidRPr="00074E91" w:rsidRDefault="009A4D5F" w:rsidP="009A4D5F">
      <w:pPr>
        <w:spacing w:before="240" w:after="120"/>
        <w:rPr>
          <w:rFonts w:cs="Arial"/>
          <w:b/>
          <w:u w:val="single"/>
        </w:rPr>
      </w:pPr>
      <w:r w:rsidRPr="00074E91">
        <w:rPr>
          <w:rFonts w:cs="Arial"/>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713"/>
        <w:gridCol w:w="7524"/>
      </w:tblGrid>
      <w:tr w:rsidR="009A4D5F" w:rsidRPr="00074E91" w14:paraId="3B7AD128" w14:textId="77777777" w:rsidTr="008764C3">
        <w:trPr>
          <w:trHeight w:val="340"/>
          <w:tblHeader/>
          <w:jc w:val="right"/>
        </w:trPr>
        <w:tc>
          <w:tcPr>
            <w:tcW w:w="433" w:type="pct"/>
            <w:vMerge w:val="restart"/>
            <w:shd w:val="clear" w:color="auto" w:fill="7F7F7F" w:themeFill="text1" w:themeFillTint="80"/>
            <w:vAlign w:val="center"/>
          </w:tcPr>
          <w:p w14:paraId="4C2DF6CD" w14:textId="77777777" w:rsidR="009A4D5F" w:rsidRPr="00074E91" w:rsidRDefault="009A4D5F"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074E91">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1A61F82F" w14:textId="77777777" w:rsidR="009A4D5F" w:rsidRPr="00074E91" w:rsidRDefault="009A4D5F"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074E91">
              <w:rPr>
                <w:rFonts w:eastAsia="Times" w:cs="Arial"/>
                <w:b/>
                <w:iCs/>
                <w:color w:val="FFFFFF" w:themeColor="background1"/>
                <w:szCs w:val="20"/>
                <w:lang w:eastAsia="es-MX"/>
              </w:rPr>
              <w:t>Criterios</w:t>
            </w:r>
          </w:p>
        </w:tc>
      </w:tr>
      <w:tr w:rsidR="009A4D5F" w:rsidRPr="00074E91" w14:paraId="7BF205D4" w14:textId="77777777" w:rsidTr="008764C3">
        <w:trPr>
          <w:jc w:val="right"/>
        </w:trPr>
        <w:tc>
          <w:tcPr>
            <w:tcW w:w="433" w:type="pct"/>
            <w:vMerge/>
            <w:vAlign w:val="center"/>
          </w:tcPr>
          <w:p w14:paraId="71B6BA34" w14:textId="77777777" w:rsidR="009A4D5F" w:rsidRPr="00074E91" w:rsidRDefault="009A4D5F" w:rsidP="009A4D5F">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0A125275" w14:textId="77777777" w:rsidR="009A4D5F" w:rsidRPr="00074E91" w:rsidRDefault="009A4D5F" w:rsidP="009A4D5F">
            <w:pPr>
              <w:spacing w:after="0" w:line="240" w:lineRule="atLeast"/>
              <w:jc w:val="left"/>
              <w:rPr>
                <w:rFonts w:eastAsia="Calibri" w:cs="Arial"/>
                <w:szCs w:val="20"/>
                <w:lang w:eastAsia="es-MX"/>
              </w:rPr>
            </w:pPr>
            <w:r w:rsidRPr="00074E91">
              <w:rPr>
                <w:rFonts w:cs="Arial"/>
                <w:color w:val="000000"/>
                <w:szCs w:val="20"/>
              </w:rPr>
              <w:t>Los medios de verificación de los indicadores cuentan con:</w:t>
            </w:r>
          </w:p>
        </w:tc>
      </w:tr>
      <w:tr w:rsidR="009A4D5F" w:rsidRPr="00074E91" w14:paraId="01DBD11A" w14:textId="77777777" w:rsidTr="008D1588">
        <w:trPr>
          <w:jc w:val="right"/>
        </w:trPr>
        <w:tc>
          <w:tcPr>
            <w:tcW w:w="433" w:type="pct"/>
            <w:vAlign w:val="center"/>
          </w:tcPr>
          <w:p w14:paraId="0ED6801E" w14:textId="7A5B837D" w:rsidR="009A4D5F" w:rsidRPr="00074E91" w:rsidRDefault="009F42B0"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sidRPr="00074E91">
              <w:rPr>
                <w:rFonts w:eastAsia="Calibri" w:cs="Arial"/>
                <w:szCs w:val="20"/>
                <w:lang w:eastAsia="es-MX"/>
              </w:rPr>
              <w:t>0</w:t>
            </w:r>
          </w:p>
        </w:tc>
        <w:tc>
          <w:tcPr>
            <w:tcW w:w="4567" w:type="pct"/>
            <w:vAlign w:val="center"/>
          </w:tcPr>
          <w:p w14:paraId="55FDBA2A" w14:textId="64C29200" w:rsidR="009A4D5F" w:rsidRPr="00074E91" w:rsidRDefault="001231E7" w:rsidP="004306CF">
            <w:pPr>
              <w:numPr>
                <w:ilvl w:val="0"/>
                <w:numId w:val="1"/>
              </w:numPr>
              <w:spacing w:after="0" w:line="240" w:lineRule="atLeast"/>
              <w:jc w:val="left"/>
              <w:rPr>
                <w:rFonts w:eastAsia="Calibri" w:cs="Arial"/>
                <w:szCs w:val="20"/>
                <w:lang w:eastAsia="es-MX"/>
              </w:rPr>
            </w:pPr>
            <w:r w:rsidRPr="00074E91">
              <w:rPr>
                <w:rFonts w:eastAsia="Calibri" w:cs="Arial"/>
                <w:szCs w:val="20"/>
                <w:lang w:eastAsia="es-MX"/>
              </w:rPr>
              <w:t>Ninguno</w:t>
            </w:r>
            <w:r w:rsidR="004306CF" w:rsidRPr="00074E91">
              <w:rPr>
                <w:rFonts w:eastAsia="Calibri" w:cs="Arial"/>
                <w:szCs w:val="20"/>
                <w:lang w:eastAsia="es-MX"/>
              </w:rPr>
              <w:t xml:space="preserve"> de los criterios de valoración </w:t>
            </w:r>
          </w:p>
        </w:tc>
      </w:tr>
    </w:tbl>
    <w:p w14:paraId="239E6428" w14:textId="20645811" w:rsidR="009F42B0" w:rsidRPr="00074E91" w:rsidRDefault="008764C3" w:rsidP="003B4EED">
      <w:pPr>
        <w:spacing w:before="240" w:after="120"/>
        <w:rPr>
          <w:rFonts w:cs="Arial"/>
        </w:rPr>
      </w:pPr>
      <w:r w:rsidRPr="00074E91">
        <w:rPr>
          <w:rFonts w:cs="Arial"/>
          <w:b/>
          <w:u w:val="single"/>
        </w:rPr>
        <w:lastRenderedPageBreak/>
        <w:t>Justificación:</w:t>
      </w:r>
      <w:r w:rsidR="003B4EED" w:rsidRPr="003B4EED">
        <w:rPr>
          <w:rFonts w:cs="Arial"/>
          <w:bCs/>
        </w:rPr>
        <w:t xml:space="preserve"> </w:t>
      </w:r>
      <w:r w:rsidR="009F42B0" w:rsidRPr="00074E91">
        <w:rPr>
          <w:rFonts w:cs="Arial"/>
        </w:rPr>
        <w:t>Los indicadores del ISD que presenta la UR evaluada cuentan con medios de verificación claramente identificados, incluyendo documentos fuente, áreas responsables y periodos alineados a su frecuencia, lo que permite reproducir cálculos y dar seguimiento histórico. Esta información se encuentra en repositorios institucionales y evidencias documentales, tanto digitales como físicas.</w:t>
      </w:r>
    </w:p>
    <w:p w14:paraId="3F56B424" w14:textId="37D6F9EB" w:rsidR="009F42B0" w:rsidRPr="00074E91" w:rsidRDefault="009F42B0" w:rsidP="009F42B0">
      <w:pPr>
        <w:rPr>
          <w:rFonts w:cs="Arial"/>
        </w:rPr>
      </w:pPr>
      <w:r w:rsidRPr="00074E91">
        <w:rPr>
          <w:rFonts w:cs="Arial"/>
        </w:rPr>
        <w:t>No obstante, la disponibilidad pública es parcial, ya que no todos los medios de verificación cuentan con una liga electrónica directa en el portal institucional o en la Plataforma Nacional de Transparencia, lo que limita su máximo nivel de cumplimiento.</w:t>
      </w:r>
    </w:p>
    <w:p w14:paraId="1D46801F" w14:textId="06685194" w:rsidR="002C2271" w:rsidRPr="00074E91" w:rsidRDefault="009F42B0" w:rsidP="009F42B0">
      <w:pPr>
        <w:rPr>
          <w:rFonts w:cs="Arial"/>
        </w:rPr>
      </w:pPr>
      <w:r w:rsidRPr="00074E91">
        <w:rPr>
          <w:rFonts w:cs="Arial"/>
        </w:rPr>
        <w:t>Para mejorar, se han iniciado acciones de estandarización y publicación, incorporando elementos como identificación completa del documento, responsable, periodo y ubicación, así como la programación de su difusión en portales institucionales. Además, se prevé avanzar hacia formatos abiertos, garantizando la protección de datos personales. En conjunto, esto permite cumplir de forma consistente con los criterios básicos y avanzar progresivamente hacia un nivel más alto de transparencia y accesibilidad</w:t>
      </w:r>
      <w:r w:rsidR="002C2271" w:rsidRPr="00074E91">
        <w:rPr>
          <w:rFonts w:cs="Arial"/>
        </w:rPr>
        <w:t>.</w:t>
      </w:r>
    </w:p>
    <w:p w14:paraId="3D658307" w14:textId="4C749A29" w:rsidR="009F42B0" w:rsidRPr="00074E91" w:rsidRDefault="009F42B0" w:rsidP="009F42B0">
      <w:pPr>
        <w:rPr>
          <w:rFonts w:cs="Arial"/>
        </w:rPr>
      </w:pPr>
      <w:r w:rsidRPr="00074E91">
        <w:rPr>
          <w:rFonts w:cs="Arial"/>
        </w:rPr>
        <w:t xml:space="preserve">Sin </w:t>
      </w:r>
      <w:r w:rsidR="005F7C75" w:rsidRPr="00074E91">
        <w:rPr>
          <w:rFonts w:cs="Arial"/>
        </w:rPr>
        <w:t>embargo</w:t>
      </w:r>
      <w:r w:rsidRPr="00074E91">
        <w:rPr>
          <w:rFonts w:cs="Arial"/>
        </w:rPr>
        <w:t>, la información presentada no es consistente con la MIR publicada en el Tomo IV de la LIPESS, lo que impide corroborar su validez y limita la certeza sobre la calidad de los medios de verificación de los indicadores. En consecuencia, no es posible asegurar que estos cumplan con los criterios establecidos, ya que no se puede verificar que presenten de manera completa el nombre del documento fuente, que incluyan el área responsable de su generación o publicación, que especifiquen con precisión el periodo de emisión en congruencia con la frecuencia del indicador, ni que indiquen de forma clara su ubicación física o la liga electrónica donde pueda consultarse la información.</w:t>
      </w:r>
    </w:p>
    <w:p w14:paraId="34ADDD89" w14:textId="77777777" w:rsidR="002472F2" w:rsidRPr="00074E91" w:rsidRDefault="002472F2" w:rsidP="00190ACD">
      <w:pPr>
        <w:pStyle w:val="Prrafodelista"/>
        <w:numPr>
          <w:ilvl w:val="0"/>
          <w:numId w:val="13"/>
        </w:numPr>
        <w:spacing w:line="360" w:lineRule="auto"/>
        <w:rPr>
          <w:rFonts w:cs="Arial"/>
          <w:b/>
        </w:rPr>
      </w:pPr>
      <w:r w:rsidRPr="00074E91">
        <w:rPr>
          <w:rFonts w:cs="Arial"/>
          <w:b/>
        </w:rPr>
        <w:t>¿Las metas de los indicadores que integran el Instrumento de Seguimiento del Desempeño del Pp, cumplen con los siguientes criterios?</w:t>
      </w:r>
    </w:p>
    <w:p w14:paraId="0D18940F" w14:textId="77777777" w:rsidR="002472F2" w:rsidRPr="00074E91" w:rsidRDefault="002472F2" w:rsidP="002472F2">
      <w:pPr>
        <w:spacing w:before="240" w:after="120"/>
        <w:rPr>
          <w:rFonts w:cs="Arial"/>
          <w:b/>
          <w:u w:val="single"/>
        </w:rPr>
      </w:pPr>
      <w:r w:rsidRPr="00074E91">
        <w:rPr>
          <w:rFonts w:cs="Arial"/>
          <w:b/>
          <w:u w:val="single"/>
        </w:rPr>
        <w:t>Criterios de valoración:</w:t>
      </w:r>
    </w:p>
    <w:p w14:paraId="02F4BB46" w14:textId="77777777" w:rsidR="002472F2" w:rsidRPr="00074E91" w:rsidRDefault="002472F2" w:rsidP="00190ACD">
      <w:pPr>
        <w:pStyle w:val="Prrafodelista"/>
        <w:numPr>
          <w:ilvl w:val="0"/>
          <w:numId w:val="47"/>
        </w:numPr>
        <w:spacing w:line="360" w:lineRule="auto"/>
        <w:rPr>
          <w:rFonts w:cs="Arial"/>
        </w:rPr>
      </w:pPr>
      <w:r w:rsidRPr="00074E91">
        <w:rPr>
          <w:rFonts w:cs="Arial"/>
        </w:rPr>
        <w:t>Se establecen con base en un método de cálculo documentado.</w:t>
      </w:r>
    </w:p>
    <w:p w14:paraId="01C12C46" w14:textId="77777777" w:rsidR="002472F2" w:rsidRPr="00074E91" w:rsidRDefault="002472F2" w:rsidP="00190ACD">
      <w:pPr>
        <w:pStyle w:val="Prrafodelista"/>
        <w:numPr>
          <w:ilvl w:val="0"/>
          <w:numId w:val="47"/>
        </w:numPr>
        <w:spacing w:line="360" w:lineRule="auto"/>
        <w:rPr>
          <w:rFonts w:cs="Arial"/>
        </w:rPr>
      </w:pPr>
      <w:r w:rsidRPr="00074E91">
        <w:rPr>
          <w:rFonts w:cs="Arial"/>
        </w:rPr>
        <w:t>Cuentan con unidad de medida y son congruentes con el sentido del indicador.</w:t>
      </w:r>
    </w:p>
    <w:p w14:paraId="6ACC239D" w14:textId="77777777" w:rsidR="002472F2" w:rsidRPr="00074E91" w:rsidRDefault="002472F2" w:rsidP="00190ACD">
      <w:pPr>
        <w:pStyle w:val="Prrafodelista"/>
        <w:numPr>
          <w:ilvl w:val="0"/>
          <w:numId w:val="47"/>
        </w:numPr>
        <w:spacing w:line="360" w:lineRule="auto"/>
        <w:rPr>
          <w:rFonts w:cs="Arial"/>
        </w:rPr>
      </w:pPr>
      <w:r w:rsidRPr="00074E91">
        <w:rPr>
          <w:rFonts w:cs="Arial"/>
        </w:rPr>
        <w:t>Se orientan a la mejora del desempeño, es decir, no son laxas ni su cumplimiento se encuentra garantizado.</w:t>
      </w:r>
    </w:p>
    <w:p w14:paraId="347F38FD" w14:textId="77777777" w:rsidR="002472F2" w:rsidRPr="00074E91" w:rsidRDefault="002472F2" w:rsidP="00190ACD">
      <w:pPr>
        <w:pStyle w:val="Prrafodelista"/>
        <w:numPr>
          <w:ilvl w:val="0"/>
          <w:numId w:val="47"/>
        </w:numPr>
        <w:spacing w:line="360" w:lineRule="auto"/>
        <w:rPr>
          <w:rFonts w:cs="Arial"/>
        </w:rPr>
      </w:pPr>
      <w:r w:rsidRPr="00074E91">
        <w:rPr>
          <w:rFonts w:cs="Arial"/>
        </w:rPr>
        <w:t>Son factibles, considerando la normatividad, los plazos y los recursos humanos, materiales y financieros disponibles.</w:t>
      </w:r>
    </w:p>
    <w:p w14:paraId="0FBA16F5" w14:textId="77777777" w:rsidR="002472F2" w:rsidRPr="00074E91" w:rsidRDefault="002472F2" w:rsidP="002472F2">
      <w:pPr>
        <w:spacing w:before="240" w:after="120"/>
        <w:rPr>
          <w:rFonts w:cs="Arial"/>
          <w:b/>
          <w:u w:val="single"/>
        </w:rPr>
      </w:pPr>
      <w:r w:rsidRPr="00074E91">
        <w:rPr>
          <w:rFonts w:cs="Arial"/>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713"/>
        <w:gridCol w:w="7524"/>
      </w:tblGrid>
      <w:tr w:rsidR="002472F2" w:rsidRPr="00074E91" w14:paraId="16A9B973" w14:textId="77777777" w:rsidTr="008764C3">
        <w:trPr>
          <w:trHeight w:val="340"/>
          <w:tblHeader/>
          <w:jc w:val="right"/>
        </w:trPr>
        <w:tc>
          <w:tcPr>
            <w:tcW w:w="433" w:type="pct"/>
            <w:vMerge w:val="restart"/>
            <w:shd w:val="clear" w:color="auto" w:fill="7F7F7F" w:themeFill="text1" w:themeFillTint="80"/>
            <w:vAlign w:val="center"/>
          </w:tcPr>
          <w:p w14:paraId="710F6EB2" w14:textId="77777777" w:rsidR="002472F2" w:rsidRPr="00074E91" w:rsidRDefault="002472F2"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074E91">
              <w:rPr>
                <w:rFonts w:eastAsia="Times" w:cs="Arial"/>
                <w:b/>
                <w:iCs/>
                <w:color w:val="FFFFFF" w:themeColor="background1"/>
                <w:szCs w:val="20"/>
                <w:lang w:eastAsia="es-MX"/>
              </w:rPr>
              <w:lastRenderedPageBreak/>
              <w:t>Nivel</w:t>
            </w:r>
          </w:p>
        </w:tc>
        <w:tc>
          <w:tcPr>
            <w:tcW w:w="4567" w:type="pct"/>
            <w:shd w:val="clear" w:color="auto" w:fill="7F7F7F" w:themeFill="text1" w:themeFillTint="80"/>
            <w:vAlign w:val="center"/>
          </w:tcPr>
          <w:p w14:paraId="78169D9E" w14:textId="77777777" w:rsidR="002472F2" w:rsidRPr="00074E91" w:rsidRDefault="002472F2"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074E91">
              <w:rPr>
                <w:rFonts w:eastAsia="Times" w:cs="Arial"/>
                <w:b/>
                <w:iCs/>
                <w:color w:val="FFFFFF" w:themeColor="background1"/>
                <w:szCs w:val="20"/>
                <w:lang w:eastAsia="es-MX"/>
              </w:rPr>
              <w:t>Criterios</w:t>
            </w:r>
          </w:p>
        </w:tc>
      </w:tr>
      <w:tr w:rsidR="002472F2" w:rsidRPr="00074E91" w14:paraId="02AE6E35" w14:textId="77777777" w:rsidTr="008764C3">
        <w:trPr>
          <w:jc w:val="right"/>
        </w:trPr>
        <w:tc>
          <w:tcPr>
            <w:tcW w:w="433" w:type="pct"/>
            <w:vMerge/>
            <w:vAlign w:val="center"/>
          </w:tcPr>
          <w:p w14:paraId="083C3EC8" w14:textId="77777777" w:rsidR="002472F2" w:rsidRPr="00074E91" w:rsidRDefault="002472F2" w:rsidP="002472F2">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0A413582" w14:textId="77777777" w:rsidR="002472F2" w:rsidRPr="00074E91" w:rsidRDefault="002472F2" w:rsidP="002472F2">
            <w:pPr>
              <w:spacing w:after="0" w:line="240" w:lineRule="atLeast"/>
              <w:jc w:val="left"/>
              <w:rPr>
                <w:rFonts w:eastAsia="Calibri" w:cs="Arial"/>
                <w:szCs w:val="20"/>
                <w:lang w:eastAsia="es-MX"/>
              </w:rPr>
            </w:pPr>
            <w:r w:rsidRPr="00074E91">
              <w:rPr>
                <w:rFonts w:cs="Arial"/>
                <w:color w:val="000000"/>
                <w:szCs w:val="20"/>
              </w:rPr>
              <w:t>Las metas de los indicadores cuentan con:</w:t>
            </w:r>
          </w:p>
        </w:tc>
      </w:tr>
      <w:tr w:rsidR="002472F2" w:rsidRPr="00074E91" w14:paraId="6A3FDD10" w14:textId="77777777" w:rsidTr="004306CF">
        <w:trPr>
          <w:jc w:val="right"/>
        </w:trPr>
        <w:tc>
          <w:tcPr>
            <w:tcW w:w="433" w:type="pct"/>
            <w:vAlign w:val="center"/>
          </w:tcPr>
          <w:p w14:paraId="78C6A0A5" w14:textId="13D423EA" w:rsidR="002472F2" w:rsidRPr="00074E91" w:rsidRDefault="00C92B23"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sidRPr="00074E91">
              <w:rPr>
                <w:rFonts w:eastAsia="Calibri" w:cs="Arial"/>
                <w:szCs w:val="20"/>
                <w:lang w:eastAsia="es-MX"/>
              </w:rPr>
              <w:t>0</w:t>
            </w:r>
          </w:p>
        </w:tc>
        <w:tc>
          <w:tcPr>
            <w:tcW w:w="4567" w:type="pct"/>
            <w:vAlign w:val="center"/>
          </w:tcPr>
          <w:p w14:paraId="770DDF63" w14:textId="64743C67" w:rsidR="002472F2" w:rsidRPr="00074E91" w:rsidRDefault="001231E7" w:rsidP="001231E7">
            <w:pPr>
              <w:numPr>
                <w:ilvl w:val="0"/>
                <w:numId w:val="1"/>
              </w:numPr>
              <w:spacing w:after="0" w:line="240" w:lineRule="atLeast"/>
              <w:jc w:val="left"/>
              <w:rPr>
                <w:rFonts w:eastAsia="Calibri" w:cs="Arial"/>
                <w:szCs w:val="20"/>
                <w:lang w:eastAsia="es-MX"/>
              </w:rPr>
            </w:pPr>
            <w:r w:rsidRPr="00074E91">
              <w:rPr>
                <w:rFonts w:eastAsia="Calibri" w:cs="Arial"/>
                <w:szCs w:val="20"/>
                <w:lang w:eastAsia="es-MX"/>
              </w:rPr>
              <w:t>Ninguno</w:t>
            </w:r>
            <w:r w:rsidR="00C92B23" w:rsidRPr="00074E91">
              <w:rPr>
                <w:rFonts w:eastAsia="Calibri" w:cs="Arial"/>
                <w:szCs w:val="20"/>
                <w:lang w:eastAsia="es-MX"/>
              </w:rPr>
              <w:t xml:space="preserve"> </w:t>
            </w:r>
            <w:r w:rsidR="004306CF" w:rsidRPr="00074E91">
              <w:rPr>
                <w:rFonts w:eastAsia="Calibri" w:cs="Arial"/>
                <w:szCs w:val="20"/>
                <w:lang w:eastAsia="es-MX"/>
              </w:rPr>
              <w:t xml:space="preserve">de los criterios de valoración. </w:t>
            </w:r>
          </w:p>
        </w:tc>
      </w:tr>
    </w:tbl>
    <w:p w14:paraId="2EFD60D5" w14:textId="5E6357FE" w:rsidR="009F42B0" w:rsidRPr="00074E91" w:rsidRDefault="008764C3" w:rsidP="003B4EED">
      <w:pPr>
        <w:spacing w:before="240" w:after="120"/>
        <w:rPr>
          <w:rFonts w:cs="Arial"/>
        </w:rPr>
      </w:pPr>
      <w:r w:rsidRPr="00074E91">
        <w:rPr>
          <w:rFonts w:cs="Arial"/>
          <w:b/>
          <w:u w:val="single"/>
        </w:rPr>
        <w:t>Justificación:</w:t>
      </w:r>
      <w:r w:rsidR="003B4EED" w:rsidRPr="003B4EED">
        <w:rPr>
          <w:rFonts w:cs="Arial"/>
          <w:bCs/>
        </w:rPr>
        <w:t xml:space="preserve"> </w:t>
      </w:r>
      <w:r w:rsidR="00C92B23" w:rsidRPr="00074E91">
        <w:rPr>
          <w:rFonts w:cs="Arial"/>
        </w:rPr>
        <w:t xml:space="preserve">LA UR evaluada externa que </w:t>
      </w:r>
      <w:r w:rsidR="00385CF3" w:rsidRPr="00074E91">
        <w:rPr>
          <w:rFonts w:cs="Arial"/>
        </w:rPr>
        <w:t>los ISD</w:t>
      </w:r>
      <w:r w:rsidR="009F42B0" w:rsidRPr="00074E91">
        <w:rPr>
          <w:rFonts w:cs="Arial"/>
        </w:rPr>
        <w:t xml:space="preserve"> del Pp “Servicios de Educación Superior y Posgrado de Calidad”, las metas están formuladas con base en métodos de cálculo documentados, incluyendo definición, fórmula, fuente y frecuencia, lo que permite su medición y seguimiento. Estas metas cuentan con unidades de medida congruentes con cada indicador (porcentaje, tasa o número absoluto), facilitando su interpretación y comparación con líneas base.</w:t>
      </w:r>
    </w:p>
    <w:p w14:paraId="30D23046" w14:textId="76153971" w:rsidR="009F42B0" w:rsidRPr="00074E91" w:rsidRDefault="009F42B0" w:rsidP="009F42B0">
      <w:pPr>
        <w:rPr>
          <w:rFonts w:cs="Arial"/>
        </w:rPr>
      </w:pPr>
      <w:r w:rsidRPr="00074E91">
        <w:rPr>
          <w:rFonts w:cs="Arial"/>
        </w:rPr>
        <w:t>Asimismo, las metas están orientadas a la mejora continua, al plantear objetivos retadores pero alcanzables, como el crecimiento de matrícula y altos niveles de retención, respaldados por acciones operativas en áreas clave como estadías, becas y fortalecimiento académico. También se consideran factibles, al estar alineadas con la capacidad institucional, recursos disponibles y normativa vigente.</w:t>
      </w:r>
    </w:p>
    <w:p w14:paraId="2EDB6D2C" w14:textId="194E4255" w:rsidR="002150BE" w:rsidRPr="00074E91" w:rsidRDefault="009F42B0" w:rsidP="00BB19C5">
      <w:pPr>
        <w:rPr>
          <w:rFonts w:cs="Arial"/>
        </w:rPr>
      </w:pPr>
      <w:r w:rsidRPr="00074E91">
        <w:rPr>
          <w:rFonts w:cs="Arial"/>
        </w:rPr>
        <w:t xml:space="preserve">No obstante, </w:t>
      </w:r>
      <w:r w:rsidR="00C92B23" w:rsidRPr="00074E91">
        <w:rPr>
          <w:rFonts w:cs="Arial"/>
        </w:rPr>
        <w:t xml:space="preserve">la información presentada no es consistente con </w:t>
      </w:r>
      <w:r w:rsidR="00385CF3" w:rsidRPr="00074E91">
        <w:rPr>
          <w:rFonts w:cs="Arial"/>
        </w:rPr>
        <w:t>los ISD</w:t>
      </w:r>
      <w:r w:rsidR="00C92B23" w:rsidRPr="00074E91">
        <w:rPr>
          <w:rFonts w:cs="Arial"/>
        </w:rPr>
        <w:t xml:space="preserve"> del Pp publicados en el Tomo IV de la LIPESS, lo que impide corroborar su validez y limita la certeza sobre la calidad de las metas establecidas en el ISD. En consecuencia, no es posible asegurar que estas cumplan con los criterios definidos, ya que no se puede verificar que estén sustentadas en un método de cálculo documentado, que cuenten con una unidad de medida congruente con el sentido del indicador, que se orienten efectivamente a la mejora del desempeño ni que sean factibles en función de la normatividad aplicable y de los recursos humanos, materiales y financieros disponibles.</w:t>
      </w:r>
    </w:p>
    <w:p w14:paraId="7F452D71" w14:textId="77777777" w:rsidR="002150BE" w:rsidRPr="00074E91" w:rsidRDefault="002150BE" w:rsidP="00BB19C5">
      <w:pPr>
        <w:rPr>
          <w:rFonts w:cs="Arial"/>
        </w:rPr>
      </w:pPr>
    </w:p>
    <w:p w14:paraId="6D7F42C8" w14:textId="77777777" w:rsidR="002150BE" w:rsidRPr="00074E91" w:rsidRDefault="002150BE" w:rsidP="00BB19C5">
      <w:pPr>
        <w:rPr>
          <w:rFonts w:cs="Arial"/>
        </w:rPr>
      </w:pPr>
    </w:p>
    <w:p w14:paraId="2DA73925" w14:textId="77777777" w:rsidR="002150BE" w:rsidRPr="00074E91" w:rsidRDefault="002150BE" w:rsidP="00BB19C5">
      <w:pPr>
        <w:rPr>
          <w:rFonts w:cs="Arial"/>
        </w:rPr>
      </w:pPr>
    </w:p>
    <w:p w14:paraId="70D73A57" w14:textId="77777777" w:rsidR="002150BE" w:rsidRPr="00074E91" w:rsidRDefault="002150BE" w:rsidP="00BB19C5">
      <w:pPr>
        <w:rPr>
          <w:rFonts w:cs="Arial"/>
        </w:rPr>
      </w:pPr>
    </w:p>
    <w:p w14:paraId="5174DAF6" w14:textId="77777777" w:rsidR="002150BE" w:rsidRPr="00074E91" w:rsidRDefault="002150BE" w:rsidP="00BB19C5">
      <w:pPr>
        <w:rPr>
          <w:rFonts w:cs="Arial"/>
        </w:rPr>
      </w:pPr>
    </w:p>
    <w:p w14:paraId="67803FE9" w14:textId="77777777" w:rsidR="002150BE" w:rsidRPr="00074E91" w:rsidRDefault="002150BE" w:rsidP="00BB19C5">
      <w:pPr>
        <w:rPr>
          <w:rFonts w:cs="Arial"/>
        </w:rPr>
      </w:pPr>
    </w:p>
    <w:p w14:paraId="03BB6747" w14:textId="77777777" w:rsidR="002150BE" w:rsidRPr="00074E91" w:rsidRDefault="002150BE" w:rsidP="00BB19C5">
      <w:pPr>
        <w:rPr>
          <w:rFonts w:cs="Arial"/>
        </w:rPr>
      </w:pPr>
    </w:p>
    <w:p w14:paraId="22C0E279" w14:textId="77777777" w:rsidR="000A4BBB" w:rsidRPr="00074E91" w:rsidRDefault="000A4BBB" w:rsidP="00BB19C5">
      <w:pPr>
        <w:rPr>
          <w:rFonts w:cs="Arial"/>
        </w:rPr>
      </w:pPr>
    </w:p>
    <w:p w14:paraId="07810878" w14:textId="7A3754AA" w:rsidR="000A4BBB" w:rsidRPr="00074E91" w:rsidRDefault="000A4BBB" w:rsidP="00BB19C5">
      <w:pPr>
        <w:rPr>
          <w:rFonts w:cs="Arial"/>
        </w:rPr>
      </w:pPr>
    </w:p>
    <w:p w14:paraId="21585531" w14:textId="77777777" w:rsidR="00362C2A" w:rsidRPr="00074E91" w:rsidRDefault="00362C2A" w:rsidP="00362C2A">
      <w:pPr>
        <w:pStyle w:val="Ttulo3"/>
        <w:rPr>
          <w:rFonts w:cs="Arial"/>
          <w:lang w:val="es-ES"/>
        </w:rPr>
      </w:pPr>
      <w:bookmarkStart w:id="56" w:name="_Toc227668607"/>
      <w:r w:rsidRPr="00074E91">
        <w:rPr>
          <w:rFonts w:cs="Arial"/>
          <w:lang w:val="es-ES"/>
        </w:rPr>
        <w:lastRenderedPageBreak/>
        <w:t xml:space="preserve">Sección </w:t>
      </w:r>
      <w:r w:rsidR="00175819" w:rsidRPr="00074E91">
        <w:rPr>
          <w:rFonts w:cs="Arial"/>
          <w:lang w:val="es-ES"/>
        </w:rPr>
        <w:t>VIII</w:t>
      </w:r>
      <w:r w:rsidRPr="00074E91">
        <w:rPr>
          <w:rFonts w:cs="Arial"/>
          <w:lang w:val="es-ES"/>
        </w:rPr>
        <w:t>. Valoración final del diseño del Pp</w:t>
      </w:r>
      <w:bookmarkEnd w:id="56"/>
    </w:p>
    <w:p w14:paraId="54C90F44" w14:textId="77777777" w:rsidR="00362C2A" w:rsidRPr="00074E91" w:rsidRDefault="00362C2A" w:rsidP="00190ACD">
      <w:pPr>
        <w:pStyle w:val="Prrafodelista"/>
        <w:numPr>
          <w:ilvl w:val="0"/>
          <w:numId w:val="48"/>
        </w:numPr>
        <w:spacing w:after="0" w:line="360" w:lineRule="auto"/>
        <w:rPr>
          <w:rFonts w:cs="Arial"/>
          <w:b/>
        </w:rPr>
      </w:pPr>
      <w:r w:rsidRPr="00074E91">
        <w:rPr>
          <w:rFonts w:cs="Arial"/>
          <w:b/>
        </w:rPr>
        <w:t>Valoración cuantitativa global</w:t>
      </w:r>
    </w:p>
    <w:p w14:paraId="405B9512" w14:textId="77777777" w:rsidR="00362C2A" w:rsidRPr="00074E91" w:rsidRDefault="00362C2A" w:rsidP="003B4EED">
      <w:pPr>
        <w:spacing w:after="0" w:line="240" w:lineRule="auto"/>
        <w:rPr>
          <w:rFonts w:cs="Arial"/>
          <w:b/>
        </w:rPr>
      </w:pPr>
    </w:p>
    <w:p w14:paraId="1472A690" w14:textId="6C71828F" w:rsidR="00DD25DF" w:rsidRPr="00074E91" w:rsidRDefault="00DD25DF" w:rsidP="00DD25DF">
      <w:pPr>
        <w:spacing w:after="0"/>
        <w:jc w:val="center"/>
        <w:rPr>
          <w:rFonts w:cs="Arial"/>
          <w:smallCaps/>
        </w:rPr>
      </w:pPr>
      <w:r w:rsidRPr="00074E91">
        <w:rPr>
          <w:rFonts w:cs="Arial"/>
          <w:smallCaps/>
        </w:rPr>
        <w:t>Tabla. Valoración máxima por sección</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Look w:val="04A0" w:firstRow="1" w:lastRow="0" w:firstColumn="1" w:lastColumn="0" w:noHBand="0" w:noVBand="1"/>
      </w:tblPr>
      <w:tblGrid>
        <w:gridCol w:w="563"/>
        <w:gridCol w:w="2966"/>
        <w:gridCol w:w="1547"/>
        <w:gridCol w:w="1183"/>
        <w:gridCol w:w="1269"/>
        <w:gridCol w:w="1320"/>
      </w:tblGrid>
      <w:tr w:rsidR="00DD25DF" w:rsidRPr="00074E91" w14:paraId="61E020D3" w14:textId="77777777" w:rsidTr="003B4EED">
        <w:trPr>
          <w:trHeight w:val="1065"/>
          <w:tblHeader/>
        </w:trPr>
        <w:tc>
          <w:tcPr>
            <w:tcW w:w="324" w:type="pct"/>
            <w:shd w:val="clear" w:color="auto" w:fill="404040" w:themeFill="text1" w:themeFillTint="BF"/>
            <w:vAlign w:val="center"/>
          </w:tcPr>
          <w:p w14:paraId="0D6C9FAF" w14:textId="77777777" w:rsidR="00DD25DF" w:rsidRPr="00074E91" w:rsidRDefault="00DD25DF" w:rsidP="00DD25DF">
            <w:pPr>
              <w:spacing w:after="0" w:line="240" w:lineRule="auto"/>
              <w:jc w:val="center"/>
              <w:rPr>
                <w:rFonts w:cs="Arial"/>
                <w:b/>
                <w:bCs/>
                <w:color w:val="FFFFFF" w:themeColor="background1"/>
                <w:szCs w:val="20"/>
              </w:rPr>
            </w:pPr>
            <w:r w:rsidRPr="00074E91">
              <w:rPr>
                <w:rFonts w:cs="Arial"/>
                <w:b/>
                <w:bCs/>
                <w:color w:val="FFFFFF" w:themeColor="background1"/>
                <w:szCs w:val="20"/>
              </w:rPr>
              <w:t>No.</w:t>
            </w:r>
          </w:p>
        </w:tc>
        <w:tc>
          <w:tcPr>
            <w:tcW w:w="1682" w:type="pct"/>
            <w:shd w:val="clear" w:color="auto" w:fill="404040" w:themeFill="text1" w:themeFillTint="BF"/>
            <w:vAlign w:val="center"/>
          </w:tcPr>
          <w:p w14:paraId="1B36A6FC" w14:textId="77777777" w:rsidR="00DD25DF" w:rsidRPr="00074E91" w:rsidRDefault="00DD25DF" w:rsidP="00DD25DF">
            <w:pPr>
              <w:spacing w:after="0" w:line="240" w:lineRule="auto"/>
              <w:jc w:val="center"/>
              <w:rPr>
                <w:rFonts w:eastAsia="Cambria" w:cs="Arial"/>
                <w:b/>
                <w:bCs/>
                <w:color w:val="FFFFFF" w:themeColor="background1"/>
                <w:szCs w:val="20"/>
              </w:rPr>
            </w:pPr>
            <w:r w:rsidRPr="00074E91">
              <w:rPr>
                <w:rFonts w:cs="Arial"/>
                <w:b/>
                <w:bCs/>
                <w:color w:val="FFFFFF" w:themeColor="background1"/>
                <w:szCs w:val="20"/>
              </w:rPr>
              <w:t>Sección</w:t>
            </w:r>
          </w:p>
        </w:tc>
        <w:tc>
          <w:tcPr>
            <w:tcW w:w="880" w:type="pct"/>
            <w:shd w:val="clear" w:color="auto" w:fill="404040" w:themeFill="text1" w:themeFillTint="BF"/>
            <w:tcMar>
              <w:top w:w="0" w:type="dxa"/>
              <w:left w:w="108" w:type="dxa"/>
              <w:bottom w:w="0" w:type="dxa"/>
              <w:right w:w="108" w:type="dxa"/>
            </w:tcMar>
            <w:vAlign w:val="center"/>
            <w:hideMark/>
          </w:tcPr>
          <w:p w14:paraId="1AB0E40C" w14:textId="77777777" w:rsidR="00DD25DF" w:rsidRPr="00074E91" w:rsidRDefault="00DD25DF" w:rsidP="00DD25DF">
            <w:pPr>
              <w:spacing w:after="0" w:line="240" w:lineRule="auto"/>
              <w:jc w:val="center"/>
              <w:rPr>
                <w:rFonts w:eastAsia="Cambria" w:cs="Arial"/>
                <w:b/>
                <w:bCs/>
                <w:color w:val="FFFFFF" w:themeColor="background1"/>
                <w:szCs w:val="20"/>
              </w:rPr>
            </w:pPr>
            <w:r w:rsidRPr="00074E91">
              <w:rPr>
                <w:rFonts w:cs="Arial"/>
                <w:b/>
                <w:bCs/>
                <w:color w:val="FFFFFF" w:themeColor="background1"/>
                <w:szCs w:val="20"/>
              </w:rPr>
              <w:t>Pregunta con valoración cuantitativa</w:t>
            </w:r>
          </w:p>
        </w:tc>
        <w:tc>
          <w:tcPr>
            <w:tcW w:w="640" w:type="pct"/>
            <w:shd w:val="clear" w:color="auto" w:fill="404040" w:themeFill="text1" w:themeFillTint="BF"/>
            <w:tcMar>
              <w:top w:w="0" w:type="dxa"/>
              <w:left w:w="108" w:type="dxa"/>
              <w:bottom w:w="0" w:type="dxa"/>
              <w:right w:w="108" w:type="dxa"/>
            </w:tcMar>
            <w:vAlign w:val="center"/>
            <w:hideMark/>
          </w:tcPr>
          <w:p w14:paraId="0F295350" w14:textId="72A6E192" w:rsidR="00DD25DF" w:rsidRPr="00074E91" w:rsidRDefault="00DD25DF" w:rsidP="00DD25DF">
            <w:pPr>
              <w:spacing w:after="0" w:line="240" w:lineRule="auto"/>
              <w:jc w:val="center"/>
              <w:rPr>
                <w:rFonts w:cs="Arial"/>
                <w:b/>
                <w:bCs/>
                <w:color w:val="FFFFFF" w:themeColor="background1"/>
                <w:szCs w:val="20"/>
              </w:rPr>
            </w:pPr>
            <w:proofErr w:type="gramStart"/>
            <w:r w:rsidRPr="00074E91">
              <w:rPr>
                <w:rFonts w:cs="Arial"/>
                <w:b/>
                <w:bCs/>
                <w:color w:val="FFFFFF" w:themeColor="background1"/>
                <w:szCs w:val="20"/>
              </w:rPr>
              <w:t>Total</w:t>
            </w:r>
            <w:proofErr w:type="gramEnd"/>
            <w:r w:rsidRPr="00074E91">
              <w:rPr>
                <w:rFonts w:cs="Arial"/>
                <w:b/>
                <w:bCs/>
                <w:color w:val="FFFFFF" w:themeColor="background1"/>
                <w:szCs w:val="20"/>
              </w:rPr>
              <w:t xml:space="preserve"> de preguntas</w:t>
            </w:r>
          </w:p>
          <w:p w14:paraId="3F6DEB52" w14:textId="77777777" w:rsidR="00DD25DF" w:rsidRPr="00074E91" w:rsidRDefault="00DD25DF" w:rsidP="00DD25DF">
            <w:pPr>
              <w:spacing w:after="0" w:line="240" w:lineRule="auto"/>
              <w:jc w:val="center"/>
              <w:rPr>
                <w:rFonts w:cs="Arial"/>
                <w:b/>
                <w:bCs/>
                <w:color w:val="FFFFFF" w:themeColor="background1"/>
                <w:szCs w:val="20"/>
              </w:rPr>
            </w:pPr>
            <w:r w:rsidRPr="00074E91">
              <w:rPr>
                <w:rFonts w:cs="Arial"/>
                <w:b/>
                <w:bCs/>
                <w:color w:val="FFFFFF" w:themeColor="background1"/>
                <w:szCs w:val="20"/>
              </w:rPr>
              <w:t>(A)</w:t>
            </w:r>
          </w:p>
        </w:tc>
        <w:tc>
          <w:tcPr>
            <w:tcW w:w="722" w:type="pct"/>
            <w:shd w:val="clear" w:color="auto" w:fill="404040" w:themeFill="text1" w:themeFillTint="BF"/>
            <w:vAlign w:val="center"/>
          </w:tcPr>
          <w:p w14:paraId="76E978A9" w14:textId="77777777" w:rsidR="00DD25DF" w:rsidRPr="00074E91" w:rsidRDefault="00DD25DF" w:rsidP="00DD25DF">
            <w:pPr>
              <w:spacing w:after="0" w:line="240" w:lineRule="auto"/>
              <w:jc w:val="center"/>
              <w:rPr>
                <w:rFonts w:cs="Arial"/>
                <w:b/>
                <w:bCs/>
                <w:color w:val="FFFFFF" w:themeColor="background1"/>
                <w:szCs w:val="20"/>
              </w:rPr>
            </w:pPr>
            <w:r w:rsidRPr="00074E91">
              <w:rPr>
                <w:rFonts w:cs="Arial"/>
                <w:b/>
                <w:bCs/>
                <w:color w:val="FFFFFF" w:themeColor="background1"/>
                <w:szCs w:val="20"/>
              </w:rPr>
              <w:t>Puntuación máxima</w:t>
            </w:r>
          </w:p>
          <w:p w14:paraId="75C6DD5C" w14:textId="77777777" w:rsidR="00DD25DF" w:rsidRPr="00074E91" w:rsidRDefault="00DD25DF" w:rsidP="00DD25DF">
            <w:pPr>
              <w:spacing w:after="0" w:line="240" w:lineRule="auto"/>
              <w:jc w:val="center"/>
              <w:rPr>
                <w:rFonts w:cs="Arial"/>
                <w:b/>
                <w:bCs/>
                <w:color w:val="FFFFFF" w:themeColor="background1"/>
                <w:szCs w:val="20"/>
              </w:rPr>
            </w:pPr>
            <w:r w:rsidRPr="00074E91">
              <w:rPr>
                <w:rFonts w:cs="Arial"/>
                <w:b/>
                <w:bCs/>
                <w:color w:val="FFFFFF" w:themeColor="background1"/>
                <w:szCs w:val="20"/>
              </w:rPr>
              <w:t>(B)</w:t>
            </w:r>
          </w:p>
        </w:tc>
        <w:tc>
          <w:tcPr>
            <w:tcW w:w="751" w:type="pct"/>
            <w:shd w:val="clear" w:color="auto" w:fill="404040" w:themeFill="text1" w:themeFillTint="BF"/>
            <w:vAlign w:val="center"/>
          </w:tcPr>
          <w:p w14:paraId="6926F6E6" w14:textId="77777777" w:rsidR="00DD25DF" w:rsidRPr="00074E91" w:rsidRDefault="00DD25DF" w:rsidP="00DD25DF">
            <w:pPr>
              <w:spacing w:after="0" w:line="240" w:lineRule="auto"/>
              <w:jc w:val="center"/>
              <w:rPr>
                <w:rFonts w:cs="Arial"/>
                <w:b/>
                <w:bCs/>
                <w:color w:val="FFFFFF" w:themeColor="background1"/>
                <w:szCs w:val="20"/>
              </w:rPr>
            </w:pPr>
            <w:r w:rsidRPr="00074E91">
              <w:rPr>
                <w:rFonts w:cs="Arial"/>
                <w:b/>
                <w:bCs/>
                <w:color w:val="FFFFFF" w:themeColor="background1"/>
                <w:szCs w:val="20"/>
              </w:rPr>
              <w:t xml:space="preserve">Valoración cuantitativa </w:t>
            </w:r>
          </w:p>
          <w:p w14:paraId="16DAC5BA" w14:textId="77777777" w:rsidR="00DD25DF" w:rsidRPr="00074E91" w:rsidRDefault="00DD25DF" w:rsidP="00DD25DF">
            <w:pPr>
              <w:spacing w:after="0" w:line="240" w:lineRule="auto"/>
              <w:jc w:val="center"/>
              <w:rPr>
                <w:rFonts w:cs="Arial"/>
                <w:b/>
                <w:bCs/>
                <w:color w:val="FFFFFF" w:themeColor="background1"/>
                <w:szCs w:val="20"/>
              </w:rPr>
            </w:pPr>
            <w:r w:rsidRPr="00074E91">
              <w:rPr>
                <w:rFonts w:cs="Arial"/>
                <w:b/>
                <w:bCs/>
                <w:color w:val="FFFFFF" w:themeColor="background1"/>
                <w:szCs w:val="20"/>
              </w:rPr>
              <w:t>(B)/(A)</w:t>
            </w:r>
          </w:p>
        </w:tc>
      </w:tr>
      <w:tr w:rsidR="00DD25DF" w:rsidRPr="00074E91" w14:paraId="7012796F" w14:textId="77777777" w:rsidTr="008E40C5">
        <w:trPr>
          <w:trHeight w:val="624"/>
        </w:trPr>
        <w:tc>
          <w:tcPr>
            <w:tcW w:w="324" w:type="pct"/>
            <w:vAlign w:val="center"/>
          </w:tcPr>
          <w:p w14:paraId="6E581797" w14:textId="77777777" w:rsidR="00DD25DF" w:rsidRPr="00074E91" w:rsidRDefault="00DD25DF" w:rsidP="00DD25DF">
            <w:pPr>
              <w:spacing w:after="0" w:line="240" w:lineRule="auto"/>
              <w:jc w:val="center"/>
              <w:rPr>
                <w:rFonts w:cs="Arial"/>
                <w:szCs w:val="20"/>
              </w:rPr>
            </w:pPr>
            <w:r w:rsidRPr="00074E91">
              <w:rPr>
                <w:rFonts w:cs="Arial"/>
                <w:szCs w:val="20"/>
              </w:rPr>
              <w:t>II</w:t>
            </w:r>
          </w:p>
        </w:tc>
        <w:tc>
          <w:tcPr>
            <w:tcW w:w="1682" w:type="pct"/>
            <w:tcMar>
              <w:top w:w="0" w:type="dxa"/>
              <w:left w:w="108" w:type="dxa"/>
              <w:bottom w:w="0" w:type="dxa"/>
              <w:right w:w="108" w:type="dxa"/>
            </w:tcMar>
            <w:vAlign w:val="center"/>
            <w:hideMark/>
          </w:tcPr>
          <w:p w14:paraId="448DECFF" w14:textId="77777777" w:rsidR="00DD25DF" w:rsidRPr="00074E91" w:rsidRDefault="00DD25DF" w:rsidP="00DD25DF">
            <w:pPr>
              <w:spacing w:after="0" w:line="240" w:lineRule="auto"/>
              <w:rPr>
                <w:rFonts w:cs="Arial"/>
                <w:szCs w:val="20"/>
              </w:rPr>
            </w:pPr>
            <w:r w:rsidRPr="00074E91">
              <w:rPr>
                <w:rFonts w:cs="Arial"/>
                <w:szCs w:val="20"/>
              </w:rPr>
              <w:t>Problema o necesidad pública</w:t>
            </w:r>
          </w:p>
        </w:tc>
        <w:tc>
          <w:tcPr>
            <w:tcW w:w="880" w:type="pct"/>
            <w:tcMar>
              <w:top w:w="0" w:type="dxa"/>
              <w:left w:w="108" w:type="dxa"/>
              <w:bottom w:w="0" w:type="dxa"/>
              <w:right w:w="108" w:type="dxa"/>
            </w:tcMar>
            <w:vAlign w:val="center"/>
          </w:tcPr>
          <w:p w14:paraId="13C9D745" w14:textId="77777777" w:rsidR="00DD25DF" w:rsidRPr="00074E91" w:rsidRDefault="00DD25DF" w:rsidP="00DD25DF">
            <w:pPr>
              <w:spacing w:after="0" w:line="240" w:lineRule="auto"/>
              <w:jc w:val="center"/>
              <w:rPr>
                <w:rFonts w:cs="Arial"/>
                <w:szCs w:val="20"/>
              </w:rPr>
            </w:pPr>
            <w:r w:rsidRPr="00074E91">
              <w:rPr>
                <w:rFonts w:cs="Arial"/>
                <w:szCs w:val="20"/>
              </w:rPr>
              <w:t>2 - 5</w:t>
            </w:r>
          </w:p>
        </w:tc>
        <w:tc>
          <w:tcPr>
            <w:tcW w:w="640" w:type="pct"/>
            <w:tcMar>
              <w:top w:w="0" w:type="dxa"/>
              <w:left w:w="108" w:type="dxa"/>
              <w:bottom w:w="0" w:type="dxa"/>
              <w:right w:w="108" w:type="dxa"/>
            </w:tcMar>
            <w:vAlign w:val="center"/>
          </w:tcPr>
          <w:p w14:paraId="4154235F" w14:textId="3147D3DE" w:rsidR="00DD25DF" w:rsidRPr="00074E91" w:rsidRDefault="005F7C75" w:rsidP="00DD25DF">
            <w:pPr>
              <w:spacing w:after="0" w:line="240" w:lineRule="auto"/>
              <w:jc w:val="center"/>
              <w:rPr>
                <w:rFonts w:cs="Arial"/>
                <w:szCs w:val="20"/>
              </w:rPr>
            </w:pPr>
            <w:r w:rsidRPr="00074E91">
              <w:rPr>
                <w:rFonts w:cs="Arial"/>
                <w:szCs w:val="20"/>
              </w:rPr>
              <w:t>4</w:t>
            </w:r>
          </w:p>
        </w:tc>
        <w:tc>
          <w:tcPr>
            <w:tcW w:w="722" w:type="pct"/>
            <w:vAlign w:val="center"/>
          </w:tcPr>
          <w:p w14:paraId="53DDBAEB" w14:textId="00F65C98" w:rsidR="00DD25DF" w:rsidRPr="00074E91" w:rsidRDefault="005F7C75" w:rsidP="00DD25DF">
            <w:pPr>
              <w:spacing w:after="0" w:line="240" w:lineRule="auto"/>
              <w:jc w:val="center"/>
              <w:rPr>
                <w:rFonts w:cs="Arial"/>
                <w:szCs w:val="20"/>
              </w:rPr>
            </w:pPr>
            <w:r w:rsidRPr="00074E91">
              <w:rPr>
                <w:rFonts w:cs="Arial"/>
                <w:szCs w:val="20"/>
              </w:rPr>
              <w:t>12</w:t>
            </w:r>
          </w:p>
        </w:tc>
        <w:tc>
          <w:tcPr>
            <w:tcW w:w="751" w:type="pct"/>
            <w:shd w:val="clear" w:color="auto" w:fill="F2F2F2" w:themeFill="background1" w:themeFillShade="F2"/>
            <w:vAlign w:val="center"/>
          </w:tcPr>
          <w:p w14:paraId="7C58A72E" w14:textId="4653B039" w:rsidR="00DD25DF" w:rsidRPr="00074E91" w:rsidRDefault="00705A81" w:rsidP="00DD25DF">
            <w:pPr>
              <w:spacing w:after="0" w:line="240" w:lineRule="auto"/>
              <w:jc w:val="center"/>
              <w:rPr>
                <w:rFonts w:cs="Arial"/>
                <w:b/>
                <w:bCs/>
                <w:szCs w:val="20"/>
              </w:rPr>
            </w:pPr>
            <w:r w:rsidRPr="00074E91">
              <w:rPr>
                <w:rFonts w:cs="Arial"/>
                <w:b/>
                <w:bCs/>
                <w:szCs w:val="20"/>
              </w:rPr>
              <w:t>3</w:t>
            </w:r>
          </w:p>
        </w:tc>
      </w:tr>
      <w:tr w:rsidR="00DD25DF" w:rsidRPr="00074E91" w14:paraId="01FB8FBC" w14:textId="77777777" w:rsidTr="00705A81">
        <w:trPr>
          <w:trHeight w:val="624"/>
        </w:trPr>
        <w:tc>
          <w:tcPr>
            <w:tcW w:w="324" w:type="pct"/>
            <w:vAlign w:val="center"/>
          </w:tcPr>
          <w:p w14:paraId="0FC97C8E" w14:textId="77777777" w:rsidR="00DD25DF" w:rsidRPr="00074E91" w:rsidRDefault="00DD25DF" w:rsidP="00DD25DF">
            <w:pPr>
              <w:spacing w:after="0" w:line="240" w:lineRule="auto"/>
              <w:jc w:val="center"/>
              <w:rPr>
                <w:rFonts w:cs="Arial"/>
                <w:szCs w:val="20"/>
              </w:rPr>
            </w:pPr>
            <w:r w:rsidRPr="00074E91">
              <w:rPr>
                <w:rFonts w:cs="Arial"/>
                <w:szCs w:val="20"/>
              </w:rPr>
              <w:t>III</w:t>
            </w:r>
          </w:p>
        </w:tc>
        <w:tc>
          <w:tcPr>
            <w:tcW w:w="1682" w:type="pct"/>
            <w:tcMar>
              <w:top w:w="0" w:type="dxa"/>
              <w:left w:w="108" w:type="dxa"/>
              <w:bottom w:w="0" w:type="dxa"/>
              <w:right w:w="108" w:type="dxa"/>
            </w:tcMar>
            <w:vAlign w:val="center"/>
          </w:tcPr>
          <w:p w14:paraId="3FBC1659" w14:textId="77777777" w:rsidR="00DD25DF" w:rsidRPr="00074E91" w:rsidRDefault="00DD25DF" w:rsidP="00DD25DF">
            <w:pPr>
              <w:spacing w:after="0" w:line="240" w:lineRule="auto"/>
              <w:rPr>
                <w:rFonts w:cs="Arial"/>
                <w:szCs w:val="20"/>
              </w:rPr>
            </w:pPr>
            <w:r w:rsidRPr="00074E91">
              <w:rPr>
                <w:rFonts w:cs="Arial"/>
                <w:szCs w:val="20"/>
              </w:rPr>
              <w:t>Diseño de la propuesta de atención</w:t>
            </w:r>
          </w:p>
        </w:tc>
        <w:tc>
          <w:tcPr>
            <w:tcW w:w="880" w:type="pct"/>
            <w:tcMar>
              <w:top w:w="0" w:type="dxa"/>
              <w:left w:w="108" w:type="dxa"/>
              <w:bottom w:w="0" w:type="dxa"/>
              <w:right w:w="108" w:type="dxa"/>
            </w:tcMar>
            <w:vAlign w:val="center"/>
          </w:tcPr>
          <w:p w14:paraId="2DB2281A" w14:textId="77777777" w:rsidR="00DD25DF" w:rsidRPr="00074E91" w:rsidRDefault="00DD25DF" w:rsidP="00DD25DF">
            <w:pPr>
              <w:spacing w:after="0" w:line="240" w:lineRule="auto"/>
              <w:jc w:val="center"/>
              <w:rPr>
                <w:rFonts w:cs="Arial"/>
                <w:szCs w:val="20"/>
              </w:rPr>
            </w:pPr>
            <w:r w:rsidRPr="00074E91">
              <w:rPr>
                <w:rFonts w:cs="Arial"/>
                <w:szCs w:val="20"/>
              </w:rPr>
              <w:t>6 - 10</w:t>
            </w:r>
          </w:p>
        </w:tc>
        <w:tc>
          <w:tcPr>
            <w:tcW w:w="640" w:type="pct"/>
            <w:tcMar>
              <w:top w:w="0" w:type="dxa"/>
              <w:left w:w="108" w:type="dxa"/>
              <w:bottom w:w="0" w:type="dxa"/>
              <w:right w:w="108" w:type="dxa"/>
            </w:tcMar>
            <w:vAlign w:val="center"/>
          </w:tcPr>
          <w:p w14:paraId="26B94A22" w14:textId="77777777" w:rsidR="00DD25DF" w:rsidRPr="00074E91" w:rsidRDefault="00DD25DF" w:rsidP="00DD25DF">
            <w:pPr>
              <w:spacing w:after="0" w:line="240" w:lineRule="auto"/>
              <w:jc w:val="center"/>
              <w:rPr>
                <w:rFonts w:cs="Arial"/>
                <w:szCs w:val="20"/>
              </w:rPr>
            </w:pPr>
            <w:r w:rsidRPr="00074E91">
              <w:rPr>
                <w:rFonts w:cs="Arial"/>
                <w:szCs w:val="20"/>
              </w:rPr>
              <w:t>5</w:t>
            </w:r>
          </w:p>
        </w:tc>
        <w:tc>
          <w:tcPr>
            <w:tcW w:w="722" w:type="pct"/>
            <w:vAlign w:val="center"/>
          </w:tcPr>
          <w:p w14:paraId="2D5DC847" w14:textId="782B28BF" w:rsidR="00DD25DF" w:rsidRPr="00074E91" w:rsidRDefault="00705A81" w:rsidP="00DD25DF">
            <w:pPr>
              <w:spacing w:after="0" w:line="240" w:lineRule="auto"/>
              <w:jc w:val="center"/>
              <w:rPr>
                <w:rFonts w:cs="Arial"/>
                <w:szCs w:val="20"/>
              </w:rPr>
            </w:pPr>
            <w:r w:rsidRPr="00074E91">
              <w:rPr>
                <w:rFonts w:cs="Arial"/>
                <w:szCs w:val="20"/>
              </w:rPr>
              <w:t>4</w:t>
            </w:r>
          </w:p>
        </w:tc>
        <w:tc>
          <w:tcPr>
            <w:tcW w:w="751" w:type="pct"/>
            <w:shd w:val="clear" w:color="auto" w:fill="F2F2F2" w:themeFill="background1" w:themeFillShade="F2"/>
            <w:vAlign w:val="center"/>
          </w:tcPr>
          <w:p w14:paraId="01D9220A" w14:textId="6C555B7A" w:rsidR="00DD25DF" w:rsidRPr="00074E91" w:rsidRDefault="00186F3F" w:rsidP="00DD25DF">
            <w:pPr>
              <w:spacing w:after="0" w:line="240" w:lineRule="auto"/>
              <w:jc w:val="center"/>
              <w:rPr>
                <w:rFonts w:cs="Arial"/>
                <w:b/>
                <w:bCs/>
                <w:szCs w:val="20"/>
              </w:rPr>
            </w:pPr>
            <w:r w:rsidRPr="00074E91">
              <w:rPr>
                <w:rFonts w:cs="Arial"/>
                <w:b/>
                <w:bCs/>
                <w:szCs w:val="20"/>
              </w:rPr>
              <w:t>0.8</w:t>
            </w:r>
          </w:p>
        </w:tc>
      </w:tr>
      <w:tr w:rsidR="00DD25DF" w:rsidRPr="00074E91" w14:paraId="1C91B529" w14:textId="77777777" w:rsidTr="00705A81">
        <w:trPr>
          <w:trHeight w:val="624"/>
        </w:trPr>
        <w:tc>
          <w:tcPr>
            <w:tcW w:w="324" w:type="pct"/>
            <w:vAlign w:val="center"/>
          </w:tcPr>
          <w:p w14:paraId="2AC5D852" w14:textId="77777777" w:rsidR="00DD25DF" w:rsidRPr="00074E91" w:rsidRDefault="00DD25DF" w:rsidP="00DD25DF">
            <w:pPr>
              <w:spacing w:after="0" w:line="240" w:lineRule="auto"/>
              <w:jc w:val="center"/>
              <w:rPr>
                <w:rFonts w:cs="Arial"/>
                <w:szCs w:val="20"/>
              </w:rPr>
            </w:pPr>
            <w:r w:rsidRPr="00074E91">
              <w:rPr>
                <w:rFonts w:cs="Arial"/>
                <w:szCs w:val="20"/>
              </w:rPr>
              <w:t>IV</w:t>
            </w:r>
          </w:p>
        </w:tc>
        <w:tc>
          <w:tcPr>
            <w:tcW w:w="1682" w:type="pct"/>
            <w:tcMar>
              <w:top w:w="0" w:type="dxa"/>
              <w:left w:w="108" w:type="dxa"/>
              <w:bottom w:w="0" w:type="dxa"/>
              <w:right w:w="108" w:type="dxa"/>
            </w:tcMar>
            <w:vAlign w:val="center"/>
          </w:tcPr>
          <w:p w14:paraId="03089509" w14:textId="77777777" w:rsidR="00DD25DF" w:rsidRPr="00074E91" w:rsidRDefault="00DD25DF" w:rsidP="00DD25DF">
            <w:pPr>
              <w:spacing w:after="0" w:line="240" w:lineRule="auto"/>
              <w:rPr>
                <w:rFonts w:cs="Arial"/>
                <w:szCs w:val="20"/>
              </w:rPr>
            </w:pPr>
            <w:r w:rsidRPr="00074E91">
              <w:rPr>
                <w:rFonts w:cs="Arial"/>
                <w:szCs w:val="20"/>
              </w:rPr>
              <w:t>Diseño operativo</w:t>
            </w:r>
          </w:p>
        </w:tc>
        <w:tc>
          <w:tcPr>
            <w:tcW w:w="880" w:type="pct"/>
            <w:tcMar>
              <w:top w:w="0" w:type="dxa"/>
              <w:left w:w="108" w:type="dxa"/>
              <w:bottom w:w="0" w:type="dxa"/>
              <w:right w:w="108" w:type="dxa"/>
            </w:tcMar>
            <w:vAlign w:val="center"/>
          </w:tcPr>
          <w:p w14:paraId="7B4A1E88" w14:textId="77777777" w:rsidR="00DD25DF" w:rsidRPr="00074E91" w:rsidRDefault="00DD25DF" w:rsidP="00DD25DF">
            <w:pPr>
              <w:spacing w:after="0" w:line="240" w:lineRule="auto"/>
              <w:jc w:val="center"/>
              <w:rPr>
                <w:rFonts w:cs="Arial"/>
                <w:szCs w:val="20"/>
              </w:rPr>
            </w:pPr>
            <w:r w:rsidRPr="00074E91">
              <w:rPr>
                <w:rFonts w:cs="Arial"/>
                <w:szCs w:val="20"/>
              </w:rPr>
              <w:t>11 - 20</w:t>
            </w:r>
          </w:p>
        </w:tc>
        <w:tc>
          <w:tcPr>
            <w:tcW w:w="640" w:type="pct"/>
            <w:tcMar>
              <w:top w:w="0" w:type="dxa"/>
              <w:left w:w="108" w:type="dxa"/>
              <w:bottom w:w="0" w:type="dxa"/>
              <w:right w:w="108" w:type="dxa"/>
            </w:tcMar>
            <w:vAlign w:val="center"/>
          </w:tcPr>
          <w:p w14:paraId="65824450" w14:textId="77777777" w:rsidR="00DD25DF" w:rsidRPr="00074E91" w:rsidRDefault="00DD25DF" w:rsidP="00DD25DF">
            <w:pPr>
              <w:spacing w:after="0" w:line="240" w:lineRule="auto"/>
              <w:jc w:val="center"/>
              <w:rPr>
                <w:rFonts w:cs="Arial"/>
                <w:szCs w:val="20"/>
              </w:rPr>
            </w:pPr>
            <w:r w:rsidRPr="00074E91">
              <w:rPr>
                <w:rFonts w:cs="Arial"/>
                <w:szCs w:val="20"/>
              </w:rPr>
              <w:t>10</w:t>
            </w:r>
          </w:p>
        </w:tc>
        <w:tc>
          <w:tcPr>
            <w:tcW w:w="722" w:type="pct"/>
            <w:vAlign w:val="center"/>
          </w:tcPr>
          <w:p w14:paraId="51839A09" w14:textId="119FA86A" w:rsidR="00DD25DF" w:rsidRPr="00074E91" w:rsidRDefault="00705A81" w:rsidP="00DD25DF">
            <w:pPr>
              <w:spacing w:after="0" w:line="240" w:lineRule="auto"/>
              <w:jc w:val="center"/>
              <w:rPr>
                <w:rFonts w:cs="Arial"/>
                <w:szCs w:val="20"/>
              </w:rPr>
            </w:pPr>
            <w:r w:rsidRPr="00074E91">
              <w:rPr>
                <w:rFonts w:cs="Arial"/>
                <w:szCs w:val="20"/>
              </w:rPr>
              <w:t>9</w:t>
            </w:r>
          </w:p>
        </w:tc>
        <w:tc>
          <w:tcPr>
            <w:tcW w:w="751" w:type="pct"/>
            <w:shd w:val="clear" w:color="auto" w:fill="F2F2F2" w:themeFill="background1" w:themeFillShade="F2"/>
            <w:vAlign w:val="center"/>
          </w:tcPr>
          <w:p w14:paraId="40B93777" w14:textId="7CB8ADCC" w:rsidR="00DD25DF" w:rsidRPr="00074E91" w:rsidRDefault="00186F3F" w:rsidP="00DD25DF">
            <w:pPr>
              <w:spacing w:after="0" w:line="240" w:lineRule="auto"/>
              <w:jc w:val="center"/>
              <w:rPr>
                <w:rFonts w:cs="Arial"/>
                <w:b/>
                <w:bCs/>
                <w:szCs w:val="20"/>
              </w:rPr>
            </w:pPr>
            <w:r w:rsidRPr="00074E91">
              <w:rPr>
                <w:rFonts w:cs="Arial"/>
                <w:b/>
                <w:bCs/>
                <w:szCs w:val="20"/>
              </w:rPr>
              <w:t>0.9</w:t>
            </w:r>
          </w:p>
        </w:tc>
      </w:tr>
      <w:tr w:rsidR="00DD25DF" w:rsidRPr="00074E91" w14:paraId="756EA780" w14:textId="77777777" w:rsidTr="00705A81">
        <w:trPr>
          <w:trHeight w:val="624"/>
        </w:trPr>
        <w:tc>
          <w:tcPr>
            <w:tcW w:w="324" w:type="pct"/>
            <w:vAlign w:val="center"/>
          </w:tcPr>
          <w:p w14:paraId="1CDFB313" w14:textId="77777777" w:rsidR="00DD25DF" w:rsidRPr="00074E91" w:rsidRDefault="00DD25DF" w:rsidP="00DD25DF">
            <w:pPr>
              <w:spacing w:after="0" w:line="240" w:lineRule="auto"/>
              <w:jc w:val="center"/>
              <w:rPr>
                <w:rFonts w:cs="Arial"/>
                <w:szCs w:val="20"/>
              </w:rPr>
            </w:pPr>
            <w:r w:rsidRPr="00074E91">
              <w:rPr>
                <w:rFonts w:cs="Arial"/>
                <w:szCs w:val="20"/>
                <w:lang w:eastAsia="es-MX"/>
              </w:rPr>
              <w:t>V</w:t>
            </w:r>
          </w:p>
        </w:tc>
        <w:tc>
          <w:tcPr>
            <w:tcW w:w="1682" w:type="pct"/>
            <w:tcMar>
              <w:top w:w="0" w:type="dxa"/>
              <w:left w:w="108" w:type="dxa"/>
              <w:bottom w:w="0" w:type="dxa"/>
              <w:right w:w="108" w:type="dxa"/>
            </w:tcMar>
            <w:vAlign w:val="center"/>
          </w:tcPr>
          <w:p w14:paraId="4CE596D3" w14:textId="77777777" w:rsidR="00DD25DF" w:rsidRPr="00074E91" w:rsidRDefault="00DD25DF" w:rsidP="00DD25DF">
            <w:pPr>
              <w:spacing w:after="0" w:line="240" w:lineRule="auto"/>
              <w:rPr>
                <w:rFonts w:cs="Arial"/>
                <w:szCs w:val="20"/>
              </w:rPr>
            </w:pPr>
            <w:r w:rsidRPr="00074E91">
              <w:rPr>
                <w:rFonts w:cs="Arial"/>
                <w:szCs w:val="20"/>
              </w:rPr>
              <w:t xml:space="preserve">Consistencia programática y normativa </w:t>
            </w:r>
          </w:p>
        </w:tc>
        <w:tc>
          <w:tcPr>
            <w:tcW w:w="880" w:type="pct"/>
            <w:tcMar>
              <w:top w:w="0" w:type="dxa"/>
              <w:left w:w="108" w:type="dxa"/>
              <w:bottom w:w="0" w:type="dxa"/>
              <w:right w:w="108" w:type="dxa"/>
            </w:tcMar>
            <w:vAlign w:val="center"/>
          </w:tcPr>
          <w:p w14:paraId="1ED7FBF7" w14:textId="77777777" w:rsidR="00DD25DF" w:rsidRPr="00074E91" w:rsidRDefault="00175819" w:rsidP="00DD25DF">
            <w:pPr>
              <w:spacing w:after="0" w:line="240" w:lineRule="auto"/>
              <w:jc w:val="center"/>
              <w:rPr>
                <w:rFonts w:cs="Arial"/>
                <w:szCs w:val="20"/>
              </w:rPr>
            </w:pPr>
            <w:r w:rsidRPr="00074E91">
              <w:rPr>
                <w:rFonts w:cs="Arial"/>
                <w:szCs w:val="20"/>
              </w:rPr>
              <w:t>23</w:t>
            </w:r>
          </w:p>
        </w:tc>
        <w:tc>
          <w:tcPr>
            <w:tcW w:w="640" w:type="pct"/>
            <w:tcMar>
              <w:top w:w="0" w:type="dxa"/>
              <w:left w:w="108" w:type="dxa"/>
              <w:bottom w:w="0" w:type="dxa"/>
              <w:right w:w="108" w:type="dxa"/>
            </w:tcMar>
            <w:vAlign w:val="center"/>
          </w:tcPr>
          <w:p w14:paraId="5EE9E801" w14:textId="77777777" w:rsidR="00DD25DF" w:rsidRPr="00074E91" w:rsidRDefault="00DD25DF" w:rsidP="00DD25DF">
            <w:pPr>
              <w:spacing w:after="0" w:line="240" w:lineRule="auto"/>
              <w:jc w:val="center"/>
              <w:rPr>
                <w:rFonts w:cs="Arial"/>
                <w:szCs w:val="20"/>
              </w:rPr>
            </w:pPr>
            <w:r w:rsidRPr="00074E91">
              <w:rPr>
                <w:rFonts w:cs="Arial"/>
                <w:szCs w:val="20"/>
              </w:rPr>
              <w:t>1</w:t>
            </w:r>
          </w:p>
        </w:tc>
        <w:tc>
          <w:tcPr>
            <w:tcW w:w="722" w:type="pct"/>
            <w:vAlign w:val="center"/>
          </w:tcPr>
          <w:p w14:paraId="4E764DD2" w14:textId="600902A6" w:rsidR="00DD25DF" w:rsidRPr="00074E91" w:rsidRDefault="00186F3F" w:rsidP="00DD25DF">
            <w:pPr>
              <w:spacing w:after="0" w:line="240" w:lineRule="auto"/>
              <w:jc w:val="center"/>
              <w:rPr>
                <w:rFonts w:cs="Arial"/>
                <w:szCs w:val="20"/>
              </w:rPr>
            </w:pPr>
            <w:r w:rsidRPr="00074E91">
              <w:rPr>
                <w:rFonts w:cs="Arial"/>
                <w:szCs w:val="20"/>
              </w:rPr>
              <w:t>0</w:t>
            </w:r>
          </w:p>
        </w:tc>
        <w:tc>
          <w:tcPr>
            <w:tcW w:w="751" w:type="pct"/>
            <w:shd w:val="clear" w:color="auto" w:fill="F2F2F2" w:themeFill="background1" w:themeFillShade="F2"/>
            <w:vAlign w:val="center"/>
          </w:tcPr>
          <w:p w14:paraId="2B945ADD" w14:textId="3F0416A7" w:rsidR="00DD25DF" w:rsidRPr="00074E91" w:rsidRDefault="00186F3F" w:rsidP="00DD25DF">
            <w:pPr>
              <w:spacing w:after="0" w:line="240" w:lineRule="auto"/>
              <w:jc w:val="center"/>
              <w:rPr>
                <w:rFonts w:cs="Arial"/>
                <w:b/>
                <w:bCs/>
                <w:szCs w:val="20"/>
              </w:rPr>
            </w:pPr>
            <w:r w:rsidRPr="00074E91">
              <w:rPr>
                <w:rFonts w:cs="Arial"/>
                <w:b/>
                <w:bCs/>
                <w:szCs w:val="20"/>
              </w:rPr>
              <w:t>4</w:t>
            </w:r>
          </w:p>
        </w:tc>
      </w:tr>
      <w:tr w:rsidR="00DD25DF" w:rsidRPr="00074E91" w14:paraId="57C5A0A1" w14:textId="77777777" w:rsidTr="00705A81">
        <w:trPr>
          <w:trHeight w:val="624"/>
        </w:trPr>
        <w:tc>
          <w:tcPr>
            <w:tcW w:w="324" w:type="pct"/>
            <w:vAlign w:val="center"/>
          </w:tcPr>
          <w:p w14:paraId="311CC3D3" w14:textId="77777777" w:rsidR="00DD25DF" w:rsidRPr="00074E91" w:rsidRDefault="00DD25DF" w:rsidP="00DD25DF">
            <w:pPr>
              <w:spacing w:after="0" w:line="240" w:lineRule="auto"/>
              <w:jc w:val="center"/>
              <w:rPr>
                <w:rFonts w:cs="Arial"/>
                <w:szCs w:val="20"/>
                <w:lang w:eastAsia="es-MX"/>
              </w:rPr>
            </w:pPr>
            <w:r w:rsidRPr="00074E91">
              <w:rPr>
                <w:rFonts w:cs="Arial"/>
                <w:szCs w:val="20"/>
              </w:rPr>
              <w:t>VI</w:t>
            </w:r>
          </w:p>
        </w:tc>
        <w:tc>
          <w:tcPr>
            <w:tcW w:w="1682" w:type="pct"/>
            <w:tcMar>
              <w:top w:w="0" w:type="dxa"/>
              <w:left w:w="108" w:type="dxa"/>
              <w:bottom w:w="0" w:type="dxa"/>
              <w:right w:w="108" w:type="dxa"/>
            </w:tcMar>
            <w:vAlign w:val="center"/>
            <w:hideMark/>
          </w:tcPr>
          <w:p w14:paraId="379145E7" w14:textId="77777777" w:rsidR="00DD25DF" w:rsidRPr="00074E91" w:rsidRDefault="00DD25DF" w:rsidP="00FC4BED">
            <w:pPr>
              <w:spacing w:after="0" w:line="240" w:lineRule="auto"/>
              <w:rPr>
                <w:rFonts w:eastAsia="Cambria" w:cs="Arial"/>
                <w:szCs w:val="20"/>
                <w:lang w:eastAsia="es-MX"/>
              </w:rPr>
            </w:pPr>
            <w:r w:rsidRPr="00074E91">
              <w:rPr>
                <w:rFonts w:cs="Arial"/>
                <w:szCs w:val="20"/>
                <w:lang w:eastAsia="es-MX"/>
              </w:rPr>
              <w:t xml:space="preserve">Contribución a objetivos de la planeación </w:t>
            </w:r>
            <w:r w:rsidR="00FC4BED" w:rsidRPr="00074E91">
              <w:rPr>
                <w:rFonts w:cs="Arial"/>
                <w:szCs w:val="20"/>
                <w:lang w:eastAsia="es-MX"/>
              </w:rPr>
              <w:t>estatal</w:t>
            </w:r>
          </w:p>
        </w:tc>
        <w:tc>
          <w:tcPr>
            <w:tcW w:w="880" w:type="pct"/>
            <w:tcMar>
              <w:top w:w="0" w:type="dxa"/>
              <w:left w:w="108" w:type="dxa"/>
              <w:bottom w:w="0" w:type="dxa"/>
              <w:right w:w="108" w:type="dxa"/>
            </w:tcMar>
            <w:vAlign w:val="center"/>
          </w:tcPr>
          <w:p w14:paraId="5B3376FF" w14:textId="77777777" w:rsidR="00DD25DF" w:rsidRPr="00074E91" w:rsidRDefault="00175819" w:rsidP="00DD25DF">
            <w:pPr>
              <w:spacing w:after="0" w:line="240" w:lineRule="auto"/>
              <w:jc w:val="center"/>
              <w:rPr>
                <w:rFonts w:eastAsia="Cambria" w:cs="Arial"/>
                <w:szCs w:val="20"/>
              </w:rPr>
            </w:pPr>
            <w:r w:rsidRPr="00074E91">
              <w:rPr>
                <w:rFonts w:eastAsia="Cambria" w:cs="Arial"/>
                <w:szCs w:val="20"/>
              </w:rPr>
              <w:t>24</w:t>
            </w:r>
          </w:p>
        </w:tc>
        <w:tc>
          <w:tcPr>
            <w:tcW w:w="640" w:type="pct"/>
            <w:tcMar>
              <w:top w:w="0" w:type="dxa"/>
              <w:left w:w="108" w:type="dxa"/>
              <w:bottom w:w="0" w:type="dxa"/>
              <w:right w:w="108" w:type="dxa"/>
            </w:tcMar>
            <w:vAlign w:val="center"/>
          </w:tcPr>
          <w:p w14:paraId="60690ACC" w14:textId="77777777" w:rsidR="00DD25DF" w:rsidRPr="00074E91" w:rsidRDefault="00DD25DF" w:rsidP="00DD25DF">
            <w:pPr>
              <w:spacing w:after="0" w:line="240" w:lineRule="auto"/>
              <w:jc w:val="center"/>
              <w:rPr>
                <w:rFonts w:eastAsia="Cambria" w:cs="Arial"/>
                <w:szCs w:val="20"/>
              </w:rPr>
            </w:pPr>
            <w:r w:rsidRPr="00074E91">
              <w:rPr>
                <w:rFonts w:eastAsia="Cambria" w:cs="Arial"/>
                <w:szCs w:val="20"/>
              </w:rPr>
              <w:t>1</w:t>
            </w:r>
          </w:p>
        </w:tc>
        <w:tc>
          <w:tcPr>
            <w:tcW w:w="722" w:type="pct"/>
            <w:vAlign w:val="center"/>
          </w:tcPr>
          <w:p w14:paraId="38D01F1C" w14:textId="1EAB4B2B" w:rsidR="00DD25DF" w:rsidRPr="00074E91" w:rsidRDefault="00186F3F" w:rsidP="00DD25DF">
            <w:pPr>
              <w:spacing w:after="0" w:line="240" w:lineRule="auto"/>
              <w:jc w:val="center"/>
              <w:rPr>
                <w:rFonts w:eastAsia="Cambria" w:cs="Arial"/>
                <w:szCs w:val="20"/>
              </w:rPr>
            </w:pPr>
            <w:r w:rsidRPr="00074E91">
              <w:rPr>
                <w:rFonts w:eastAsia="Cambria" w:cs="Arial"/>
                <w:szCs w:val="20"/>
              </w:rPr>
              <w:t>4</w:t>
            </w:r>
          </w:p>
        </w:tc>
        <w:tc>
          <w:tcPr>
            <w:tcW w:w="751" w:type="pct"/>
            <w:shd w:val="clear" w:color="auto" w:fill="F2F2F2" w:themeFill="background1" w:themeFillShade="F2"/>
            <w:vAlign w:val="center"/>
          </w:tcPr>
          <w:p w14:paraId="23463756" w14:textId="740EC99E" w:rsidR="00DD25DF" w:rsidRPr="00074E91" w:rsidRDefault="00186F3F" w:rsidP="00DD25DF">
            <w:pPr>
              <w:spacing w:after="0" w:line="240" w:lineRule="auto"/>
              <w:jc w:val="center"/>
              <w:rPr>
                <w:rFonts w:cs="Arial"/>
                <w:b/>
                <w:bCs/>
                <w:szCs w:val="20"/>
              </w:rPr>
            </w:pPr>
            <w:r w:rsidRPr="00074E91">
              <w:rPr>
                <w:rFonts w:cs="Arial"/>
                <w:b/>
                <w:bCs/>
                <w:szCs w:val="20"/>
              </w:rPr>
              <w:t>0</w:t>
            </w:r>
          </w:p>
        </w:tc>
      </w:tr>
      <w:tr w:rsidR="00DD25DF" w:rsidRPr="00074E91" w14:paraId="324C5533" w14:textId="77777777" w:rsidTr="00705A81">
        <w:trPr>
          <w:trHeight w:val="624"/>
        </w:trPr>
        <w:tc>
          <w:tcPr>
            <w:tcW w:w="324" w:type="pct"/>
            <w:vAlign w:val="center"/>
          </w:tcPr>
          <w:p w14:paraId="53B017C7" w14:textId="77777777" w:rsidR="00DD25DF" w:rsidRPr="00074E91" w:rsidRDefault="00175819" w:rsidP="00DD25DF">
            <w:pPr>
              <w:spacing w:after="0" w:line="240" w:lineRule="auto"/>
              <w:jc w:val="center"/>
              <w:rPr>
                <w:rFonts w:cs="Arial"/>
                <w:szCs w:val="20"/>
              </w:rPr>
            </w:pPr>
            <w:r w:rsidRPr="00074E91">
              <w:rPr>
                <w:rFonts w:cs="Arial"/>
                <w:szCs w:val="20"/>
              </w:rPr>
              <w:t>VII</w:t>
            </w:r>
          </w:p>
        </w:tc>
        <w:tc>
          <w:tcPr>
            <w:tcW w:w="1682" w:type="pct"/>
            <w:tcMar>
              <w:top w:w="0" w:type="dxa"/>
              <w:left w:w="108" w:type="dxa"/>
              <w:bottom w:w="0" w:type="dxa"/>
              <w:right w:w="108" w:type="dxa"/>
            </w:tcMar>
            <w:vAlign w:val="center"/>
            <w:hideMark/>
          </w:tcPr>
          <w:p w14:paraId="258D1E96" w14:textId="77777777" w:rsidR="00DD25DF" w:rsidRPr="00074E91" w:rsidRDefault="00DD25DF" w:rsidP="00DD25DF">
            <w:pPr>
              <w:spacing w:after="0" w:line="240" w:lineRule="auto"/>
              <w:rPr>
                <w:rFonts w:eastAsia="Cambria" w:cs="Arial"/>
                <w:szCs w:val="20"/>
              </w:rPr>
            </w:pPr>
            <w:r w:rsidRPr="00074E91">
              <w:rPr>
                <w:rFonts w:cs="Arial"/>
                <w:szCs w:val="20"/>
              </w:rPr>
              <w:t>Instrumento de Seguimiento del Desempeño</w:t>
            </w:r>
          </w:p>
        </w:tc>
        <w:tc>
          <w:tcPr>
            <w:tcW w:w="880" w:type="pct"/>
            <w:tcMar>
              <w:top w:w="0" w:type="dxa"/>
              <w:left w:w="108" w:type="dxa"/>
              <w:bottom w:w="0" w:type="dxa"/>
              <w:right w:w="108" w:type="dxa"/>
            </w:tcMar>
            <w:vAlign w:val="center"/>
          </w:tcPr>
          <w:p w14:paraId="31DB2C8C" w14:textId="77777777" w:rsidR="00DD25DF" w:rsidRPr="00074E91" w:rsidRDefault="00DD25DF" w:rsidP="00DD25DF">
            <w:pPr>
              <w:spacing w:after="0" w:line="240" w:lineRule="auto"/>
              <w:jc w:val="center"/>
              <w:rPr>
                <w:rFonts w:eastAsia="Cambria" w:cs="Arial"/>
                <w:szCs w:val="20"/>
              </w:rPr>
            </w:pPr>
            <w:r w:rsidRPr="00074E91">
              <w:rPr>
                <w:rFonts w:eastAsia="Cambria" w:cs="Arial"/>
                <w:szCs w:val="20"/>
              </w:rPr>
              <w:t>26-29</w:t>
            </w:r>
          </w:p>
        </w:tc>
        <w:tc>
          <w:tcPr>
            <w:tcW w:w="640" w:type="pct"/>
            <w:tcMar>
              <w:top w:w="0" w:type="dxa"/>
              <w:left w:w="108" w:type="dxa"/>
              <w:bottom w:w="0" w:type="dxa"/>
              <w:right w:w="108" w:type="dxa"/>
            </w:tcMar>
            <w:vAlign w:val="center"/>
          </w:tcPr>
          <w:p w14:paraId="4048B859" w14:textId="77777777" w:rsidR="00DD25DF" w:rsidRPr="00074E91" w:rsidRDefault="00DD25DF" w:rsidP="00DD25DF">
            <w:pPr>
              <w:spacing w:after="0" w:line="240" w:lineRule="auto"/>
              <w:jc w:val="center"/>
              <w:rPr>
                <w:rFonts w:eastAsia="Cambria" w:cs="Arial"/>
                <w:szCs w:val="20"/>
              </w:rPr>
            </w:pPr>
            <w:r w:rsidRPr="00074E91">
              <w:rPr>
                <w:rFonts w:eastAsia="Cambria" w:cs="Arial"/>
                <w:szCs w:val="20"/>
              </w:rPr>
              <w:t>4</w:t>
            </w:r>
          </w:p>
        </w:tc>
        <w:tc>
          <w:tcPr>
            <w:tcW w:w="722" w:type="pct"/>
            <w:vAlign w:val="center"/>
          </w:tcPr>
          <w:p w14:paraId="40D4FEBB" w14:textId="38903C1B" w:rsidR="00DD25DF" w:rsidRPr="00074E91" w:rsidRDefault="00705A81" w:rsidP="00DD25DF">
            <w:pPr>
              <w:spacing w:after="0" w:line="240" w:lineRule="auto"/>
              <w:jc w:val="center"/>
              <w:rPr>
                <w:rFonts w:eastAsia="Cambria" w:cs="Arial"/>
                <w:szCs w:val="20"/>
              </w:rPr>
            </w:pPr>
            <w:r w:rsidRPr="00074E91">
              <w:rPr>
                <w:rFonts w:eastAsia="Cambria" w:cs="Arial"/>
                <w:szCs w:val="20"/>
              </w:rPr>
              <w:t>0</w:t>
            </w:r>
          </w:p>
        </w:tc>
        <w:tc>
          <w:tcPr>
            <w:tcW w:w="751" w:type="pct"/>
            <w:shd w:val="clear" w:color="auto" w:fill="F2F2F2" w:themeFill="background1" w:themeFillShade="F2"/>
            <w:vAlign w:val="center"/>
          </w:tcPr>
          <w:p w14:paraId="463D21F4" w14:textId="482BA646" w:rsidR="00DD25DF" w:rsidRPr="00074E91" w:rsidRDefault="00186F3F" w:rsidP="00DD25DF">
            <w:pPr>
              <w:spacing w:after="0" w:line="240" w:lineRule="auto"/>
              <w:jc w:val="center"/>
              <w:rPr>
                <w:rFonts w:cs="Arial"/>
                <w:b/>
                <w:bCs/>
                <w:szCs w:val="20"/>
              </w:rPr>
            </w:pPr>
            <w:r w:rsidRPr="00074E91">
              <w:rPr>
                <w:rFonts w:cs="Arial"/>
                <w:b/>
                <w:bCs/>
                <w:szCs w:val="20"/>
              </w:rPr>
              <w:t>0</w:t>
            </w:r>
          </w:p>
        </w:tc>
      </w:tr>
      <w:tr w:rsidR="00DD25DF" w:rsidRPr="00074E91" w14:paraId="61F93826" w14:textId="77777777" w:rsidTr="00F73060">
        <w:trPr>
          <w:trHeight w:val="283"/>
        </w:trPr>
        <w:tc>
          <w:tcPr>
            <w:tcW w:w="324" w:type="pct"/>
            <w:shd w:val="clear" w:color="auto" w:fill="D9D9D9" w:themeFill="background1" w:themeFillShade="D9"/>
            <w:vAlign w:val="center"/>
          </w:tcPr>
          <w:p w14:paraId="356D4AE9" w14:textId="77777777" w:rsidR="00DD25DF" w:rsidRPr="00074E91" w:rsidRDefault="00DD25DF" w:rsidP="00DD25DF">
            <w:pPr>
              <w:spacing w:after="0" w:line="240" w:lineRule="auto"/>
              <w:rPr>
                <w:rFonts w:cs="Arial"/>
                <w:b/>
                <w:bCs/>
                <w:szCs w:val="20"/>
              </w:rPr>
            </w:pPr>
          </w:p>
        </w:tc>
        <w:tc>
          <w:tcPr>
            <w:tcW w:w="1682" w:type="pct"/>
            <w:shd w:val="clear" w:color="auto" w:fill="D9D9D9" w:themeFill="background1" w:themeFillShade="D9"/>
            <w:tcMar>
              <w:top w:w="0" w:type="dxa"/>
              <w:left w:w="108" w:type="dxa"/>
              <w:bottom w:w="0" w:type="dxa"/>
              <w:right w:w="108" w:type="dxa"/>
            </w:tcMar>
            <w:vAlign w:val="center"/>
            <w:hideMark/>
          </w:tcPr>
          <w:p w14:paraId="3CDFAE20" w14:textId="77777777" w:rsidR="00DD25DF" w:rsidRPr="00074E91" w:rsidRDefault="00DD25DF" w:rsidP="00DD25DF">
            <w:pPr>
              <w:spacing w:after="0" w:line="240" w:lineRule="auto"/>
              <w:jc w:val="center"/>
              <w:rPr>
                <w:rFonts w:eastAsia="Cambria" w:cs="Arial"/>
                <w:b/>
                <w:bCs/>
                <w:szCs w:val="20"/>
              </w:rPr>
            </w:pPr>
            <w:r w:rsidRPr="00074E91">
              <w:rPr>
                <w:rFonts w:cs="Arial"/>
                <w:b/>
                <w:bCs/>
                <w:szCs w:val="20"/>
              </w:rPr>
              <w:t>TOTAL</w:t>
            </w:r>
          </w:p>
        </w:tc>
        <w:tc>
          <w:tcPr>
            <w:tcW w:w="880" w:type="pct"/>
            <w:shd w:val="clear" w:color="auto" w:fill="D9D9D9" w:themeFill="background1" w:themeFillShade="D9"/>
            <w:tcMar>
              <w:top w:w="0" w:type="dxa"/>
              <w:left w:w="108" w:type="dxa"/>
              <w:bottom w:w="0" w:type="dxa"/>
              <w:right w:w="108" w:type="dxa"/>
            </w:tcMar>
            <w:vAlign w:val="center"/>
            <w:hideMark/>
          </w:tcPr>
          <w:p w14:paraId="6C27E786" w14:textId="77777777" w:rsidR="00DD25DF" w:rsidRPr="00074E91" w:rsidRDefault="00DD25DF" w:rsidP="00DD25DF">
            <w:pPr>
              <w:spacing w:after="0" w:line="240" w:lineRule="auto"/>
              <w:jc w:val="center"/>
              <w:rPr>
                <w:rFonts w:eastAsia="Cambria" w:cs="Arial"/>
                <w:b/>
                <w:bCs/>
                <w:szCs w:val="20"/>
              </w:rPr>
            </w:pPr>
            <w:r w:rsidRPr="00074E91">
              <w:rPr>
                <w:rFonts w:eastAsia="Cambria" w:cs="Arial"/>
                <w:b/>
                <w:bCs/>
                <w:szCs w:val="20"/>
              </w:rPr>
              <w:t>25</w:t>
            </w:r>
          </w:p>
        </w:tc>
        <w:tc>
          <w:tcPr>
            <w:tcW w:w="640" w:type="pct"/>
            <w:shd w:val="clear" w:color="auto" w:fill="D9D9D9" w:themeFill="background1" w:themeFillShade="D9"/>
            <w:tcMar>
              <w:top w:w="0" w:type="dxa"/>
              <w:left w:w="108" w:type="dxa"/>
              <w:bottom w:w="0" w:type="dxa"/>
              <w:right w:w="108" w:type="dxa"/>
            </w:tcMar>
            <w:vAlign w:val="center"/>
            <w:hideMark/>
          </w:tcPr>
          <w:p w14:paraId="51EA0115" w14:textId="77777777" w:rsidR="00DD25DF" w:rsidRPr="00074E91" w:rsidRDefault="00DD25DF" w:rsidP="00DD25DF">
            <w:pPr>
              <w:spacing w:after="0" w:line="240" w:lineRule="auto"/>
              <w:jc w:val="center"/>
              <w:rPr>
                <w:rFonts w:eastAsia="Cambria" w:cs="Arial"/>
                <w:b/>
                <w:bCs/>
                <w:szCs w:val="20"/>
              </w:rPr>
            </w:pPr>
            <w:r w:rsidRPr="00074E91">
              <w:rPr>
                <w:rFonts w:eastAsia="Cambria" w:cs="Arial"/>
                <w:b/>
                <w:bCs/>
                <w:szCs w:val="20"/>
              </w:rPr>
              <w:t>25</w:t>
            </w:r>
          </w:p>
        </w:tc>
        <w:tc>
          <w:tcPr>
            <w:tcW w:w="722" w:type="pct"/>
            <w:shd w:val="clear" w:color="auto" w:fill="D9D9D9" w:themeFill="background1" w:themeFillShade="D9"/>
            <w:vAlign w:val="center"/>
          </w:tcPr>
          <w:p w14:paraId="193850C8" w14:textId="027EB39C" w:rsidR="00DD25DF" w:rsidRPr="00074E91" w:rsidRDefault="00186F3F" w:rsidP="00DD25DF">
            <w:pPr>
              <w:spacing w:after="0" w:line="240" w:lineRule="auto"/>
              <w:jc w:val="center"/>
              <w:rPr>
                <w:rFonts w:eastAsia="Cambria" w:cs="Arial"/>
                <w:b/>
                <w:bCs/>
                <w:szCs w:val="20"/>
              </w:rPr>
            </w:pPr>
            <w:r w:rsidRPr="00074E91">
              <w:rPr>
                <w:rFonts w:eastAsia="Cambria" w:cs="Arial"/>
                <w:b/>
                <w:bCs/>
                <w:szCs w:val="20"/>
              </w:rPr>
              <w:t>29</w:t>
            </w:r>
          </w:p>
        </w:tc>
        <w:tc>
          <w:tcPr>
            <w:tcW w:w="751" w:type="pct"/>
            <w:shd w:val="clear" w:color="auto" w:fill="D9D9D9" w:themeFill="background1" w:themeFillShade="D9"/>
            <w:vAlign w:val="center"/>
          </w:tcPr>
          <w:p w14:paraId="207FCD71" w14:textId="552BF856" w:rsidR="00DD25DF" w:rsidRPr="00074E91" w:rsidRDefault="00186F3F" w:rsidP="00DD25DF">
            <w:pPr>
              <w:spacing w:after="0" w:line="240" w:lineRule="auto"/>
              <w:jc w:val="center"/>
              <w:rPr>
                <w:rFonts w:cs="Arial"/>
                <w:b/>
                <w:bCs/>
                <w:szCs w:val="20"/>
              </w:rPr>
            </w:pPr>
            <w:r w:rsidRPr="00074E91">
              <w:rPr>
                <w:rFonts w:cs="Arial"/>
                <w:b/>
                <w:bCs/>
                <w:szCs w:val="20"/>
              </w:rPr>
              <w:t>1.16</w:t>
            </w:r>
          </w:p>
        </w:tc>
      </w:tr>
    </w:tbl>
    <w:p w14:paraId="30EBEA50" w14:textId="3538EE66" w:rsidR="00DD25DF" w:rsidRPr="00074E91" w:rsidRDefault="00DD25DF" w:rsidP="00DD25DF">
      <w:pPr>
        <w:spacing w:after="0" w:line="240" w:lineRule="auto"/>
        <w:rPr>
          <w:rFonts w:cs="Arial"/>
        </w:rPr>
      </w:pPr>
    </w:p>
    <w:p w14:paraId="6588D71A" w14:textId="02A5B60F" w:rsidR="00F73060" w:rsidRPr="00074E91" w:rsidRDefault="00F73060" w:rsidP="00F73060">
      <w:pPr>
        <w:spacing w:after="0"/>
        <w:jc w:val="center"/>
        <w:rPr>
          <w:rFonts w:cs="Arial"/>
          <w:smallCaps/>
        </w:rPr>
      </w:pPr>
      <w:r w:rsidRPr="00074E91">
        <w:rPr>
          <w:rFonts w:cs="Arial"/>
          <w:smallCaps/>
        </w:rPr>
        <w:t xml:space="preserve">Figura. Valoración cuantitativa por sección </w:t>
      </w:r>
    </w:p>
    <w:p w14:paraId="4DB0EAB1" w14:textId="7B83C558" w:rsidR="00F73060" w:rsidRPr="00074E91" w:rsidRDefault="00186F3F" w:rsidP="00F73060">
      <w:pPr>
        <w:jc w:val="center"/>
        <w:rPr>
          <w:rFonts w:cs="Arial"/>
          <w:noProof/>
          <w:lang w:eastAsia="es-MX"/>
        </w:rPr>
      </w:pPr>
      <w:r w:rsidRPr="00074E91">
        <w:rPr>
          <w:rFonts w:cs="Arial"/>
          <w:noProof/>
          <w:lang w:eastAsia="es-MX"/>
        </w:rPr>
        <w:drawing>
          <wp:inline distT="0" distB="0" distL="0" distR="0" wp14:anchorId="0936BFD3" wp14:editId="669B0B09">
            <wp:extent cx="5419165" cy="2523565"/>
            <wp:effectExtent l="0" t="0" r="10160" b="1016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19DFC8C" w14:textId="541F33D0" w:rsidR="00561D4D" w:rsidRPr="00074E91" w:rsidRDefault="00561D4D" w:rsidP="00F73060">
      <w:pPr>
        <w:jc w:val="center"/>
        <w:rPr>
          <w:rFonts w:cs="Arial"/>
          <w:noProof/>
          <w:lang w:eastAsia="es-MX"/>
        </w:rPr>
      </w:pPr>
    </w:p>
    <w:p w14:paraId="3FF927D4" w14:textId="5A964BA2" w:rsidR="00561D4D" w:rsidRPr="00074E91" w:rsidRDefault="00561D4D" w:rsidP="00186F3F">
      <w:pPr>
        <w:rPr>
          <w:rFonts w:cs="Arial"/>
        </w:rPr>
      </w:pPr>
    </w:p>
    <w:p w14:paraId="068B6B40" w14:textId="7268C5C4" w:rsidR="009A4D5F" w:rsidRPr="00074E91" w:rsidRDefault="008E40C5" w:rsidP="00186F3F">
      <w:pPr>
        <w:pStyle w:val="Ttulo3"/>
        <w:rPr>
          <w:rFonts w:cs="Arial"/>
        </w:rPr>
      </w:pPr>
      <w:bookmarkStart w:id="57" w:name="_Toc227668608"/>
      <w:r w:rsidRPr="00074E91">
        <w:rPr>
          <w:rFonts w:cs="Arial"/>
        </w:rPr>
        <w:lastRenderedPageBreak/>
        <w:t xml:space="preserve">Sección </w:t>
      </w:r>
      <w:r w:rsidR="0040360B" w:rsidRPr="00074E91">
        <w:rPr>
          <w:rFonts w:cs="Arial"/>
        </w:rPr>
        <w:t>I</w:t>
      </w:r>
      <w:r w:rsidRPr="00074E91">
        <w:rPr>
          <w:rFonts w:cs="Arial"/>
        </w:rPr>
        <w:t>X. Análisis FODA</w:t>
      </w:r>
      <w:bookmarkEnd w:id="57"/>
    </w:p>
    <w:tbl>
      <w:tblPr>
        <w:tblW w:w="5249"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70" w:type="dxa"/>
          <w:right w:w="70" w:type="dxa"/>
        </w:tblCellMar>
        <w:tblLook w:val="0000" w:firstRow="0" w:lastRow="0" w:firstColumn="0" w:lastColumn="0" w:noHBand="0" w:noVBand="0"/>
      </w:tblPr>
      <w:tblGrid>
        <w:gridCol w:w="1429"/>
        <w:gridCol w:w="2611"/>
        <w:gridCol w:w="1146"/>
        <w:gridCol w:w="3046"/>
        <w:gridCol w:w="1193"/>
      </w:tblGrid>
      <w:tr w:rsidR="0035070E" w:rsidRPr="00074E91" w14:paraId="144B4587" w14:textId="77777777" w:rsidTr="003B4EED">
        <w:trPr>
          <w:trHeight w:val="767"/>
          <w:jc w:val="center"/>
        </w:trPr>
        <w:tc>
          <w:tcPr>
            <w:tcW w:w="758" w:type="pct"/>
            <w:shd w:val="clear" w:color="auto" w:fill="404040" w:themeFill="text1" w:themeFillTint="BF"/>
            <w:noWrap/>
            <w:vAlign w:val="center"/>
          </w:tcPr>
          <w:p w14:paraId="2D9E236F" w14:textId="1F128575" w:rsidR="0035070E" w:rsidRPr="00074E91" w:rsidRDefault="0035070E" w:rsidP="005718A4">
            <w:pPr>
              <w:spacing w:after="0" w:line="240" w:lineRule="auto"/>
              <w:jc w:val="center"/>
              <w:rPr>
                <w:rFonts w:cs="Arial"/>
                <w:color w:val="FFFFFF" w:themeColor="background1"/>
                <w:szCs w:val="20"/>
              </w:rPr>
            </w:pPr>
            <w:r w:rsidRPr="00074E91">
              <w:rPr>
                <w:rFonts w:cs="Arial"/>
                <w:color w:val="FFFFFF" w:themeColor="background1"/>
                <w:szCs w:val="20"/>
              </w:rPr>
              <w:t>Sección de la evaluación</w:t>
            </w:r>
          </w:p>
        </w:tc>
        <w:tc>
          <w:tcPr>
            <w:tcW w:w="1385" w:type="pct"/>
            <w:shd w:val="clear" w:color="auto" w:fill="404040" w:themeFill="text1" w:themeFillTint="BF"/>
            <w:noWrap/>
            <w:vAlign w:val="center"/>
          </w:tcPr>
          <w:p w14:paraId="1794C07C" w14:textId="77777777" w:rsidR="003B4EED" w:rsidRDefault="0035070E" w:rsidP="005718A4">
            <w:pPr>
              <w:spacing w:after="0" w:line="240" w:lineRule="auto"/>
              <w:jc w:val="center"/>
              <w:rPr>
                <w:rFonts w:cs="Arial"/>
                <w:color w:val="FFFFFF" w:themeColor="background1"/>
                <w:szCs w:val="20"/>
              </w:rPr>
            </w:pPr>
            <w:r w:rsidRPr="00074E91">
              <w:rPr>
                <w:rFonts w:cs="Arial"/>
                <w:color w:val="FFFFFF" w:themeColor="background1"/>
                <w:szCs w:val="20"/>
              </w:rPr>
              <w:t xml:space="preserve">Fortaleza y/u </w:t>
            </w:r>
          </w:p>
          <w:p w14:paraId="26C2211B" w14:textId="45EC5C11" w:rsidR="0035070E" w:rsidRPr="00074E91" w:rsidRDefault="0035070E" w:rsidP="005718A4">
            <w:pPr>
              <w:spacing w:after="0" w:line="240" w:lineRule="auto"/>
              <w:jc w:val="center"/>
              <w:rPr>
                <w:rFonts w:cs="Arial"/>
                <w:color w:val="FFFFFF" w:themeColor="background1"/>
                <w:szCs w:val="20"/>
              </w:rPr>
            </w:pPr>
            <w:r w:rsidRPr="00074E91">
              <w:rPr>
                <w:rFonts w:cs="Arial"/>
                <w:color w:val="FFFFFF" w:themeColor="background1"/>
                <w:szCs w:val="20"/>
              </w:rPr>
              <w:t>oportunidad</w:t>
            </w:r>
          </w:p>
        </w:tc>
        <w:tc>
          <w:tcPr>
            <w:tcW w:w="608" w:type="pct"/>
            <w:shd w:val="clear" w:color="auto" w:fill="404040" w:themeFill="text1" w:themeFillTint="BF"/>
            <w:noWrap/>
            <w:vAlign w:val="center"/>
          </w:tcPr>
          <w:p w14:paraId="007CE31A" w14:textId="77777777" w:rsidR="0035070E" w:rsidRPr="00074E91" w:rsidRDefault="0035070E" w:rsidP="005718A4">
            <w:pPr>
              <w:spacing w:after="0" w:line="240" w:lineRule="auto"/>
              <w:jc w:val="center"/>
              <w:rPr>
                <w:rFonts w:cs="Arial"/>
                <w:color w:val="FFFFFF" w:themeColor="background1"/>
                <w:szCs w:val="20"/>
              </w:rPr>
            </w:pPr>
            <w:r w:rsidRPr="00074E91">
              <w:rPr>
                <w:rFonts w:cs="Arial"/>
                <w:color w:val="FFFFFF" w:themeColor="background1"/>
                <w:szCs w:val="20"/>
              </w:rPr>
              <w:t>Pregunta de referencia</w:t>
            </w:r>
          </w:p>
        </w:tc>
        <w:tc>
          <w:tcPr>
            <w:tcW w:w="1616" w:type="pct"/>
            <w:shd w:val="clear" w:color="auto" w:fill="404040" w:themeFill="text1" w:themeFillTint="BF"/>
            <w:noWrap/>
            <w:vAlign w:val="center"/>
          </w:tcPr>
          <w:p w14:paraId="52210B33" w14:textId="77777777" w:rsidR="0035070E" w:rsidRPr="00074E91" w:rsidRDefault="0035070E" w:rsidP="005718A4">
            <w:pPr>
              <w:spacing w:after="0" w:line="240" w:lineRule="auto"/>
              <w:jc w:val="center"/>
              <w:rPr>
                <w:rFonts w:cs="Arial"/>
                <w:color w:val="FFFFFF" w:themeColor="background1"/>
                <w:szCs w:val="20"/>
              </w:rPr>
            </w:pPr>
            <w:r w:rsidRPr="00074E91">
              <w:rPr>
                <w:rFonts w:cs="Arial"/>
                <w:color w:val="FFFFFF" w:themeColor="background1"/>
                <w:szCs w:val="20"/>
              </w:rPr>
              <w:t>Recomendación</w:t>
            </w:r>
          </w:p>
        </w:tc>
        <w:tc>
          <w:tcPr>
            <w:tcW w:w="633" w:type="pct"/>
            <w:shd w:val="clear" w:color="auto" w:fill="404040" w:themeFill="text1" w:themeFillTint="BF"/>
            <w:vAlign w:val="center"/>
          </w:tcPr>
          <w:p w14:paraId="58B78A8E" w14:textId="4279BF04" w:rsidR="0035070E" w:rsidRPr="00074E91" w:rsidRDefault="00FC4BED" w:rsidP="005718A4">
            <w:pPr>
              <w:spacing w:after="0" w:line="240" w:lineRule="auto"/>
              <w:jc w:val="center"/>
              <w:rPr>
                <w:rFonts w:cs="Arial"/>
                <w:color w:val="FFFFFF" w:themeColor="background1"/>
                <w:szCs w:val="20"/>
              </w:rPr>
            </w:pPr>
            <w:r w:rsidRPr="00074E91">
              <w:rPr>
                <w:rFonts w:cs="Arial"/>
                <w:color w:val="FFFFFF" w:themeColor="background1"/>
                <w:szCs w:val="20"/>
              </w:rPr>
              <w:t>Horizonte de atención</w:t>
            </w:r>
          </w:p>
        </w:tc>
      </w:tr>
      <w:tr w:rsidR="00572F47" w:rsidRPr="003B4EED" w14:paraId="6FA31197" w14:textId="77777777" w:rsidTr="00C25B29">
        <w:trPr>
          <w:trHeight w:val="1062"/>
          <w:jc w:val="center"/>
        </w:trPr>
        <w:tc>
          <w:tcPr>
            <w:tcW w:w="7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5D6AFC4" w14:textId="77777777" w:rsidR="00572F47" w:rsidRPr="003B4EED" w:rsidRDefault="00572F47" w:rsidP="00572F47">
            <w:pPr>
              <w:spacing w:after="0" w:line="240" w:lineRule="auto"/>
              <w:jc w:val="center"/>
              <w:rPr>
                <w:rFonts w:cs="Arial"/>
                <w:sz w:val="18"/>
                <w:szCs w:val="20"/>
              </w:rPr>
            </w:pPr>
            <w:r w:rsidRPr="003B4EED">
              <w:rPr>
                <w:rFonts w:cs="Arial"/>
                <w:sz w:val="18"/>
                <w:szCs w:val="20"/>
              </w:rPr>
              <w:t>Contribución a los objetivos de la planeación estatal</w:t>
            </w:r>
          </w:p>
        </w:tc>
        <w:tc>
          <w:tcPr>
            <w:tcW w:w="138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821F0FB" w14:textId="77777777" w:rsidR="00572F47" w:rsidRPr="003B4EED" w:rsidRDefault="00572F47" w:rsidP="00572F47">
            <w:pPr>
              <w:spacing w:after="0" w:line="240" w:lineRule="auto"/>
              <w:rPr>
                <w:rFonts w:cs="Arial"/>
                <w:sz w:val="18"/>
                <w:szCs w:val="20"/>
              </w:rPr>
            </w:pPr>
            <w:r w:rsidRPr="003B4EED">
              <w:rPr>
                <w:rFonts w:cs="Arial"/>
                <w:sz w:val="18"/>
                <w:szCs w:val="20"/>
              </w:rPr>
              <w:t>Alta alineación del Pp con los instrumentos de planeación estatal (100%)</w:t>
            </w:r>
          </w:p>
        </w:tc>
        <w:tc>
          <w:tcPr>
            <w:tcW w:w="60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926B3E9" w14:textId="77777777" w:rsidR="00572F47" w:rsidRPr="003B4EED" w:rsidRDefault="00572F47" w:rsidP="00572F47">
            <w:pPr>
              <w:spacing w:after="0" w:line="240" w:lineRule="auto"/>
              <w:jc w:val="center"/>
              <w:rPr>
                <w:rFonts w:cs="Arial"/>
                <w:sz w:val="18"/>
                <w:szCs w:val="20"/>
              </w:rPr>
            </w:pPr>
            <w:r w:rsidRPr="003B4EED">
              <w:rPr>
                <w:rFonts w:cs="Arial"/>
                <w:sz w:val="18"/>
                <w:szCs w:val="20"/>
              </w:rPr>
              <w:t>24</w:t>
            </w:r>
          </w:p>
        </w:tc>
        <w:tc>
          <w:tcPr>
            <w:tcW w:w="161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CD0CC9C" w14:textId="77777777" w:rsidR="00572F47" w:rsidRPr="003B4EED" w:rsidRDefault="00572F47" w:rsidP="00572F47">
            <w:pPr>
              <w:spacing w:after="0" w:line="240" w:lineRule="auto"/>
              <w:rPr>
                <w:rFonts w:cs="Arial"/>
                <w:sz w:val="18"/>
                <w:szCs w:val="20"/>
              </w:rPr>
            </w:pPr>
            <w:r w:rsidRPr="003B4EED">
              <w:rPr>
                <w:rFonts w:cs="Arial"/>
                <w:sz w:val="18"/>
                <w:szCs w:val="20"/>
              </w:rPr>
              <w:t>Mantener la alineación estratégica y fortalecer la vinculación con indicadores de resultados estatales</w:t>
            </w:r>
          </w:p>
        </w:tc>
        <w:tc>
          <w:tcPr>
            <w:tcW w:w="63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14643C8" w14:textId="77777777" w:rsidR="00572F47" w:rsidRPr="003B4EED" w:rsidRDefault="00572F47" w:rsidP="00572F47">
            <w:pPr>
              <w:spacing w:after="0" w:line="240" w:lineRule="auto"/>
              <w:jc w:val="center"/>
              <w:rPr>
                <w:rFonts w:cs="Arial"/>
                <w:sz w:val="18"/>
                <w:szCs w:val="20"/>
              </w:rPr>
            </w:pPr>
            <w:r w:rsidRPr="003B4EED">
              <w:rPr>
                <w:rFonts w:cs="Arial"/>
                <w:sz w:val="18"/>
                <w:szCs w:val="20"/>
              </w:rPr>
              <w:t>Mediano plazo</w:t>
            </w:r>
          </w:p>
        </w:tc>
      </w:tr>
      <w:tr w:rsidR="00572F47" w:rsidRPr="003B4EED" w14:paraId="0F39ABC0" w14:textId="77777777" w:rsidTr="00C25B29">
        <w:trPr>
          <w:trHeight w:val="934"/>
          <w:jc w:val="center"/>
        </w:trPr>
        <w:tc>
          <w:tcPr>
            <w:tcW w:w="7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DE6C810" w14:textId="77777777" w:rsidR="00572F47" w:rsidRPr="003B4EED" w:rsidRDefault="00572F47" w:rsidP="00572F47">
            <w:pPr>
              <w:spacing w:after="0" w:line="240" w:lineRule="auto"/>
              <w:jc w:val="center"/>
              <w:rPr>
                <w:rFonts w:cs="Arial"/>
                <w:sz w:val="18"/>
                <w:szCs w:val="20"/>
              </w:rPr>
            </w:pPr>
            <w:r w:rsidRPr="003B4EED">
              <w:rPr>
                <w:rFonts w:cs="Arial"/>
                <w:sz w:val="18"/>
                <w:szCs w:val="20"/>
              </w:rPr>
              <w:t>Problema o necesidad pública</w:t>
            </w:r>
          </w:p>
        </w:tc>
        <w:tc>
          <w:tcPr>
            <w:tcW w:w="138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995F18A" w14:textId="77777777" w:rsidR="00572F47" w:rsidRPr="003B4EED" w:rsidRDefault="00572F47" w:rsidP="00572F47">
            <w:pPr>
              <w:spacing w:after="0" w:line="240" w:lineRule="auto"/>
              <w:rPr>
                <w:rFonts w:cs="Arial"/>
                <w:sz w:val="18"/>
                <w:szCs w:val="20"/>
              </w:rPr>
            </w:pPr>
            <w:r w:rsidRPr="003B4EED">
              <w:rPr>
                <w:rFonts w:cs="Arial"/>
                <w:sz w:val="18"/>
                <w:szCs w:val="20"/>
              </w:rPr>
              <w:t>Adecuada identificación y justificación del problema (81.25%)</w:t>
            </w:r>
          </w:p>
        </w:tc>
        <w:tc>
          <w:tcPr>
            <w:tcW w:w="60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8603246" w14:textId="77777777" w:rsidR="00572F47" w:rsidRPr="003B4EED" w:rsidRDefault="00572F47" w:rsidP="00572F47">
            <w:pPr>
              <w:spacing w:after="0" w:line="240" w:lineRule="auto"/>
              <w:jc w:val="center"/>
              <w:rPr>
                <w:rFonts w:cs="Arial"/>
                <w:sz w:val="18"/>
                <w:szCs w:val="20"/>
              </w:rPr>
            </w:pPr>
            <w:r w:rsidRPr="003B4EED">
              <w:rPr>
                <w:rFonts w:cs="Arial"/>
                <w:sz w:val="18"/>
                <w:szCs w:val="20"/>
              </w:rPr>
              <w:t>2–5</w:t>
            </w:r>
          </w:p>
        </w:tc>
        <w:tc>
          <w:tcPr>
            <w:tcW w:w="161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D75538F" w14:textId="77777777" w:rsidR="00572F47" w:rsidRPr="003B4EED" w:rsidRDefault="00572F47" w:rsidP="00572F47">
            <w:pPr>
              <w:spacing w:after="0" w:line="240" w:lineRule="auto"/>
              <w:rPr>
                <w:rFonts w:cs="Arial"/>
                <w:sz w:val="18"/>
                <w:szCs w:val="20"/>
              </w:rPr>
            </w:pPr>
            <w:r w:rsidRPr="003B4EED">
              <w:rPr>
                <w:rFonts w:cs="Arial"/>
                <w:sz w:val="18"/>
                <w:szCs w:val="20"/>
              </w:rPr>
              <w:t>Profundizar en la cuantificación y caracterización de la población afectada para mayor precisión</w:t>
            </w:r>
          </w:p>
        </w:tc>
        <w:tc>
          <w:tcPr>
            <w:tcW w:w="63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730288E" w14:textId="77777777" w:rsidR="00C25B29" w:rsidRDefault="00572F47" w:rsidP="00572F47">
            <w:pPr>
              <w:spacing w:after="0" w:line="240" w:lineRule="auto"/>
              <w:jc w:val="center"/>
              <w:rPr>
                <w:rFonts w:cs="Arial"/>
                <w:sz w:val="18"/>
                <w:szCs w:val="20"/>
              </w:rPr>
            </w:pPr>
            <w:r w:rsidRPr="003B4EED">
              <w:rPr>
                <w:rFonts w:cs="Arial"/>
                <w:sz w:val="18"/>
                <w:szCs w:val="20"/>
              </w:rPr>
              <w:t xml:space="preserve">Corto </w:t>
            </w:r>
          </w:p>
          <w:p w14:paraId="491394A0" w14:textId="462A1338" w:rsidR="00572F47" w:rsidRPr="003B4EED" w:rsidRDefault="00572F47" w:rsidP="00572F47">
            <w:pPr>
              <w:spacing w:after="0" w:line="240" w:lineRule="auto"/>
              <w:jc w:val="center"/>
              <w:rPr>
                <w:rFonts w:cs="Arial"/>
                <w:sz w:val="18"/>
                <w:szCs w:val="20"/>
              </w:rPr>
            </w:pPr>
            <w:r w:rsidRPr="003B4EED">
              <w:rPr>
                <w:rFonts w:cs="Arial"/>
                <w:sz w:val="18"/>
                <w:szCs w:val="20"/>
              </w:rPr>
              <w:t>plazo</w:t>
            </w:r>
          </w:p>
        </w:tc>
      </w:tr>
      <w:tr w:rsidR="00572F47" w:rsidRPr="003B4EED" w14:paraId="28A4B825" w14:textId="77777777" w:rsidTr="00C25B29">
        <w:trPr>
          <w:trHeight w:val="1049"/>
          <w:jc w:val="center"/>
        </w:trPr>
        <w:tc>
          <w:tcPr>
            <w:tcW w:w="7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27E8E43" w14:textId="77777777" w:rsidR="00572F47" w:rsidRPr="003B4EED" w:rsidRDefault="00572F47" w:rsidP="00572F47">
            <w:pPr>
              <w:spacing w:after="0" w:line="240" w:lineRule="auto"/>
              <w:jc w:val="center"/>
              <w:rPr>
                <w:rFonts w:cs="Arial"/>
                <w:sz w:val="18"/>
                <w:szCs w:val="20"/>
              </w:rPr>
            </w:pPr>
            <w:r w:rsidRPr="003B4EED">
              <w:rPr>
                <w:rFonts w:cs="Arial"/>
                <w:sz w:val="18"/>
                <w:szCs w:val="20"/>
              </w:rPr>
              <w:t>Diseño operativo</w:t>
            </w:r>
          </w:p>
        </w:tc>
        <w:tc>
          <w:tcPr>
            <w:tcW w:w="138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C246BF1" w14:textId="77777777" w:rsidR="00572F47" w:rsidRPr="003B4EED" w:rsidRDefault="00572F47" w:rsidP="00572F47">
            <w:pPr>
              <w:spacing w:after="0" w:line="240" w:lineRule="auto"/>
              <w:rPr>
                <w:rFonts w:cs="Arial"/>
                <w:sz w:val="18"/>
                <w:szCs w:val="20"/>
              </w:rPr>
            </w:pPr>
            <w:r w:rsidRPr="003B4EED">
              <w:rPr>
                <w:rFonts w:cs="Arial"/>
                <w:sz w:val="18"/>
                <w:szCs w:val="20"/>
              </w:rPr>
              <w:t>Existencia de elementos operativos básicos que permiten la implementación del Pp</w:t>
            </w:r>
          </w:p>
        </w:tc>
        <w:tc>
          <w:tcPr>
            <w:tcW w:w="60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C4DE0F4" w14:textId="77777777" w:rsidR="00572F47" w:rsidRPr="003B4EED" w:rsidRDefault="00572F47" w:rsidP="00572F47">
            <w:pPr>
              <w:spacing w:after="0" w:line="240" w:lineRule="auto"/>
              <w:jc w:val="center"/>
              <w:rPr>
                <w:rFonts w:cs="Arial"/>
                <w:sz w:val="18"/>
                <w:szCs w:val="20"/>
              </w:rPr>
            </w:pPr>
            <w:r w:rsidRPr="003B4EED">
              <w:rPr>
                <w:rFonts w:cs="Arial"/>
                <w:sz w:val="18"/>
                <w:szCs w:val="20"/>
              </w:rPr>
              <w:t>11–20</w:t>
            </w:r>
          </w:p>
        </w:tc>
        <w:tc>
          <w:tcPr>
            <w:tcW w:w="161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2BBD9C4" w14:textId="77777777" w:rsidR="00572F47" w:rsidRPr="003B4EED" w:rsidRDefault="00572F47" w:rsidP="00572F47">
            <w:pPr>
              <w:spacing w:after="0" w:line="240" w:lineRule="auto"/>
              <w:rPr>
                <w:rFonts w:cs="Arial"/>
                <w:sz w:val="18"/>
                <w:szCs w:val="20"/>
              </w:rPr>
            </w:pPr>
            <w:r w:rsidRPr="003B4EED">
              <w:rPr>
                <w:rFonts w:cs="Arial"/>
                <w:sz w:val="18"/>
                <w:szCs w:val="20"/>
              </w:rPr>
              <w:t>Fortalecer la sistematización de procesos y documentar procedimientos clave</w:t>
            </w:r>
          </w:p>
        </w:tc>
        <w:tc>
          <w:tcPr>
            <w:tcW w:w="63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B9E07F8" w14:textId="77777777" w:rsidR="00572F47" w:rsidRPr="003B4EED" w:rsidRDefault="00572F47" w:rsidP="00572F47">
            <w:pPr>
              <w:spacing w:after="0" w:line="240" w:lineRule="auto"/>
              <w:jc w:val="center"/>
              <w:rPr>
                <w:rFonts w:cs="Arial"/>
                <w:sz w:val="18"/>
                <w:szCs w:val="20"/>
              </w:rPr>
            </w:pPr>
            <w:r w:rsidRPr="003B4EED">
              <w:rPr>
                <w:rFonts w:cs="Arial"/>
                <w:sz w:val="18"/>
                <w:szCs w:val="20"/>
              </w:rPr>
              <w:t>Mediano plazo</w:t>
            </w:r>
          </w:p>
        </w:tc>
      </w:tr>
      <w:tr w:rsidR="00572F47" w:rsidRPr="003B4EED" w14:paraId="3373AF56" w14:textId="77777777" w:rsidTr="00C25B29">
        <w:trPr>
          <w:trHeight w:val="938"/>
          <w:jc w:val="center"/>
        </w:trPr>
        <w:tc>
          <w:tcPr>
            <w:tcW w:w="7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2393171" w14:textId="77777777" w:rsidR="00572F47" w:rsidRPr="003B4EED" w:rsidRDefault="00572F47" w:rsidP="00572F47">
            <w:pPr>
              <w:spacing w:after="0" w:line="240" w:lineRule="auto"/>
              <w:jc w:val="center"/>
              <w:rPr>
                <w:rFonts w:cs="Arial"/>
                <w:sz w:val="18"/>
                <w:szCs w:val="20"/>
              </w:rPr>
            </w:pPr>
            <w:r w:rsidRPr="003B4EED">
              <w:rPr>
                <w:rFonts w:cs="Arial"/>
                <w:sz w:val="18"/>
                <w:szCs w:val="20"/>
              </w:rPr>
              <w:t>Diseño de la propuesta de atención</w:t>
            </w:r>
          </w:p>
        </w:tc>
        <w:tc>
          <w:tcPr>
            <w:tcW w:w="138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72A9942" w14:textId="77777777" w:rsidR="00572F47" w:rsidRPr="003B4EED" w:rsidRDefault="00572F47" w:rsidP="00572F47">
            <w:pPr>
              <w:spacing w:after="0" w:line="240" w:lineRule="auto"/>
              <w:rPr>
                <w:rFonts w:cs="Arial"/>
                <w:sz w:val="18"/>
                <w:szCs w:val="20"/>
              </w:rPr>
            </w:pPr>
            <w:r w:rsidRPr="003B4EED">
              <w:rPr>
                <w:rFonts w:cs="Arial"/>
                <w:sz w:val="18"/>
                <w:szCs w:val="20"/>
              </w:rPr>
              <w:t>Base conceptual de intervención identificada</w:t>
            </w:r>
          </w:p>
        </w:tc>
        <w:tc>
          <w:tcPr>
            <w:tcW w:w="60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84677AE" w14:textId="77777777" w:rsidR="00572F47" w:rsidRPr="003B4EED" w:rsidRDefault="00572F47" w:rsidP="00572F47">
            <w:pPr>
              <w:spacing w:after="0" w:line="240" w:lineRule="auto"/>
              <w:jc w:val="center"/>
              <w:rPr>
                <w:rFonts w:cs="Arial"/>
                <w:sz w:val="18"/>
                <w:szCs w:val="20"/>
              </w:rPr>
            </w:pPr>
            <w:r w:rsidRPr="003B4EED">
              <w:rPr>
                <w:rFonts w:cs="Arial"/>
                <w:sz w:val="18"/>
                <w:szCs w:val="20"/>
              </w:rPr>
              <w:t>6–10</w:t>
            </w:r>
          </w:p>
        </w:tc>
        <w:tc>
          <w:tcPr>
            <w:tcW w:w="161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26A2E0C" w14:textId="77777777" w:rsidR="00572F47" w:rsidRPr="003B4EED" w:rsidRDefault="00572F47" w:rsidP="00572F47">
            <w:pPr>
              <w:spacing w:after="0" w:line="240" w:lineRule="auto"/>
              <w:rPr>
                <w:rFonts w:cs="Arial"/>
                <w:sz w:val="18"/>
                <w:szCs w:val="20"/>
              </w:rPr>
            </w:pPr>
            <w:r w:rsidRPr="003B4EED">
              <w:rPr>
                <w:rFonts w:cs="Arial"/>
                <w:sz w:val="18"/>
                <w:szCs w:val="20"/>
              </w:rPr>
              <w:t>Refinar la lógica causal del programa (árbol de problemas y objetivos) para mejorar consistencia</w:t>
            </w:r>
          </w:p>
        </w:tc>
        <w:tc>
          <w:tcPr>
            <w:tcW w:w="63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1870EDB" w14:textId="77777777" w:rsidR="00C25B29" w:rsidRDefault="00572F47" w:rsidP="00572F47">
            <w:pPr>
              <w:spacing w:after="0" w:line="240" w:lineRule="auto"/>
              <w:jc w:val="center"/>
              <w:rPr>
                <w:rFonts w:cs="Arial"/>
                <w:sz w:val="18"/>
                <w:szCs w:val="20"/>
              </w:rPr>
            </w:pPr>
            <w:r w:rsidRPr="003B4EED">
              <w:rPr>
                <w:rFonts w:cs="Arial"/>
                <w:sz w:val="18"/>
                <w:szCs w:val="20"/>
              </w:rPr>
              <w:t xml:space="preserve">Corto </w:t>
            </w:r>
          </w:p>
          <w:p w14:paraId="3E75420D" w14:textId="6D90A7ED" w:rsidR="00572F47" w:rsidRPr="003B4EED" w:rsidRDefault="00572F47" w:rsidP="00572F47">
            <w:pPr>
              <w:spacing w:after="0" w:line="240" w:lineRule="auto"/>
              <w:jc w:val="center"/>
              <w:rPr>
                <w:rFonts w:cs="Arial"/>
                <w:sz w:val="18"/>
                <w:szCs w:val="20"/>
              </w:rPr>
            </w:pPr>
            <w:r w:rsidRPr="003B4EED">
              <w:rPr>
                <w:rFonts w:cs="Arial"/>
                <w:sz w:val="18"/>
                <w:szCs w:val="20"/>
              </w:rPr>
              <w:t>plazo</w:t>
            </w:r>
          </w:p>
        </w:tc>
      </w:tr>
      <w:tr w:rsidR="00572F47" w:rsidRPr="003B4EED" w14:paraId="73C7F8B3" w14:textId="77777777" w:rsidTr="00C25B29">
        <w:trPr>
          <w:trHeight w:val="1066"/>
          <w:jc w:val="center"/>
        </w:trPr>
        <w:tc>
          <w:tcPr>
            <w:tcW w:w="7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81A5313" w14:textId="77777777" w:rsidR="00572F47" w:rsidRPr="003B4EED" w:rsidRDefault="00572F47" w:rsidP="00572F47">
            <w:pPr>
              <w:spacing w:after="0" w:line="240" w:lineRule="auto"/>
              <w:jc w:val="center"/>
              <w:rPr>
                <w:rFonts w:cs="Arial"/>
                <w:sz w:val="18"/>
                <w:szCs w:val="20"/>
              </w:rPr>
            </w:pPr>
            <w:r w:rsidRPr="003B4EED">
              <w:rPr>
                <w:rFonts w:cs="Arial"/>
                <w:sz w:val="18"/>
                <w:szCs w:val="20"/>
              </w:rPr>
              <w:t>Instrumento de Seguimiento del Desempeño</w:t>
            </w:r>
          </w:p>
        </w:tc>
        <w:tc>
          <w:tcPr>
            <w:tcW w:w="138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4F20221" w14:textId="77777777" w:rsidR="00572F47" w:rsidRPr="003B4EED" w:rsidRDefault="00572F47" w:rsidP="00572F47">
            <w:pPr>
              <w:spacing w:after="0" w:line="240" w:lineRule="auto"/>
              <w:rPr>
                <w:rFonts w:cs="Arial"/>
                <w:sz w:val="18"/>
                <w:szCs w:val="20"/>
              </w:rPr>
            </w:pPr>
            <w:r w:rsidRPr="003B4EED">
              <w:rPr>
                <w:rFonts w:cs="Arial"/>
                <w:sz w:val="18"/>
                <w:szCs w:val="20"/>
              </w:rPr>
              <w:t>Existencia de indicadores y mecanismos de monitoreo iniciales</w:t>
            </w:r>
          </w:p>
        </w:tc>
        <w:tc>
          <w:tcPr>
            <w:tcW w:w="60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34879FC" w14:textId="77777777" w:rsidR="00572F47" w:rsidRPr="003B4EED" w:rsidRDefault="00572F47" w:rsidP="00572F47">
            <w:pPr>
              <w:spacing w:after="0" w:line="240" w:lineRule="auto"/>
              <w:jc w:val="center"/>
              <w:rPr>
                <w:rFonts w:cs="Arial"/>
                <w:sz w:val="18"/>
                <w:szCs w:val="20"/>
              </w:rPr>
            </w:pPr>
            <w:r w:rsidRPr="003B4EED">
              <w:rPr>
                <w:rFonts w:cs="Arial"/>
                <w:sz w:val="18"/>
                <w:szCs w:val="20"/>
              </w:rPr>
              <w:t>25–29</w:t>
            </w:r>
          </w:p>
        </w:tc>
        <w:tc>
          <w:tcPr>
            <w:tcW w:w="161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E7CBC1F" w14:textId="77777777" w:rsidR="00572F47" w:rsidRPr="003B4EED" w:rsidRDefault="00572F47" w:rsidP="00572F47">
            <w:pPr>
              <w:spacing w:after="0" w:line="240" w:lineRule="auto"/>
              <w:rPr>
                <w:rFonts w:cs="Arial"/>
                <w:sz w:val="18"/>
                <w:szCs w:val="20"/>
              </w:rPr>
            </w:pPr>
            <w:r w:rsidRPr="003B4EED">
              <w:rPr>
                <w:rFonts w:cs="Arial"/>
                <w:sz w:val="18"/>
                <w:szCs w:val="20"/>
              </w:rPr>
              <w:t>Consolidar el sistema de indicadores con fichas técnicas completas y medios de verificación públicos</w:t>
            </w:r>
          </w:p>
        </w:tc>
        <w:tc>
          <w:tcPr>
            <w:tcW w:w="63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249C99A" w14:textId="77777777" w:rsidR="00572F47" w:rsidRPr="003B4EED" w:rsidRDefault="00572F47" w:rsidP="00572F47">
            <w:pPr>
              <w:spacing w:after="0" w:line="240" w:lineRule="auto"/>
              <w:jc w:val="center"/>
              <w:rPr>
                <w:rFonts w:cs="Arial"/>
                <w:sz w:val="18"/>
                <w:szCs w:val="20"/>
              </w:rPr>
            </w:pPr>
            <w:r w:rsidRPr="003B4EED">
              <w:rPr>
                <w:rFonts w:cs="Arial"/>
                <w:sz w:val="18"/>
                <w:szCs w:val="20"/>
              </w:rPr>
              <w:t>Mediano plazo</w:t>
            </w:r>
          </w:p>
        </w:tc>
      </w:tr>
      <w:tr w:rsidR="0035070E" w:rsidRPr="00074E91" w14:paraId="0974627C" w14:textId="77777777" w:rsidTr="003B4EED">
        <w:trPr>
          <w:trHeight w:val="763"/>
          <w:jc w:val="center"/>
        </w:trPr>
        <w:tc>
          <w:tcPr>
            <w:tcW w:w="758" w:type="pct"/>
            <w:shd w:val="clear" w:color="auto" w:fill="595959" w:themeFill="text1" w:themeFillTint="A6"/>
            <w:noWrap/>
            <w:vAlign w:val="center"/>
          </w:tcPr>
          <w:p w14:paraId="4D74E145" w14:textId="2496A662" w:rsidR="0035070E" w:rsidRPr="00074E91" w:rsidRDefault="0035070E" w:rsidP="005718A4">
            <w:pPr>
              <w:spacing w:after="0" w:line="240" w:lineRule="auto"/>
              <w:jc w:val="center"/>
              <w:rPr>
                <w:rFonts w:cs="Arial"/>
                <w:color w:val="FFFFFF" w:themeColor="background1"/>
                <w:szCs w:val="20"/>
              </w:rPr>
            </w:pPr>
            <w:r w:rsidRPr="00074E91">
              <w:rPr>
                <w:rFonts w:cs="Arial"/>
                <w:color w:val="FFFFFF" w:themeColor="background1"/>
                <w:szCs w:val="20"/>
              </w:rPr>
              <w:t>Sección de la evaluación</w:t>
            </w:r>
          </w:p>
        </w:tc>
        <w:tc>
          <w:tcPr>
            <w:tcW w:w="1385" w:type="pct"/>
            <w:shd w:val="clear" w:color="auto" w:fill="595959" w:themeFill="text1" w:themeFillTint="A6"/>
            <w:noWrap/>
            <w:vAlign w:val="center"/>
          </w:tcPr>
          <w:p w14:paraId="31599B9A" w14:textId="77777777" w:rsidR="003B4EED" w:rsidRDefault="0035070E" w:rsidP="005718A4">
            <w:pPr>
              <w:spacing w:after="0" w:line="240" w:lineRule="auto"/>
              <w:jc w:val="center"/>
              <w:rPr>
                <w:rFonts w:cs="Arial"/>
                <w:color w:val="FFFFFF" w:themeColor="background1"/>
                <w:szCs w:val="20"/>
              </w:rPr>
            </w:pPr>
            <w:r w:rsidRPr="00074E91">
              <w:rPr>
                <w:rFonts w:cs="Arial"/>
                <w:color w:val="FFFFFF" w:themeColor="background1"/>
                <w:szCs w:val="20"/>
              </w:rPr>
              <w:t xml:space="preserve">Debilidad y/o </w:t>
            </w:r>
          </w:p>
          <w:p w14:paraId="17F2E165" w14:textId="40A91363" w:rsidR="0035070E" w:rsidRPr="00074E91" w:rsidRDefault="0035070E" w:rsidP="005718A4">
            <w:pPr>
              <w:spacing w:after="0" w:line="240" w:lineRule="auto"/>
              <w:jc w:val="center"/>
              <w:rPr>
                <w:rFonts w:cs="Arial"/>
                <w:color w:val="FFFFFF" w:themeColor="background1"/>
                <w:szCs w:val="20"/>
              </w:rPr>
            </w:pPr>
            <w:r w:rsidRPr="00074E91">
              <w:rPr>
                <w:rFonts w:cs="Arial"/>
                <w:color w:val="FFFFFF" w:themeColor="background1"/>
                <w:szCs w:val="20"/>
              </w:rPr>
              <w:t>amenaza</w:t>
            </w:r>
          </w:p>
        </w:tc>
        <w:tc>
          <w:tcPr>
            <w:tcW w:w="608" w:type="pct"/>
            <w:shd w:val="clear" w:color="auto" w:fill="595959" w:themeFill="text1" w:themeFillTint="A6"/>
            <w:noWrap/>
            <w:vAlign w:val="center"/>
          </w:tcPr>
          <w:p w14:paraId="5BBDA48D" w14:textId="77777777" w:rsidR="0035070E" w:rsidRPr="00074E91" w:rsidRDefault="0035070E" w:rsidP="005718A4">
            <w:pPr>
              <w:spacing w:after="0" w:line="240" w:lineRule="auto"/>
              <w:jc w:val="center"/>
              <w:rPr>
                <w:rFonts w:cs="Arial"/>
                <w:color w:val="FFFFFF" w:themeColor="background1"/>
                <w:szCs w:val="20"/>
              </w:rPr>
            </w:pPr>
            <w:r w:rsidRPr="00074E91">
              <w:rPr>
                <w:rFonts w:cs="Arial"/>
                <w:color w:val="FFFFFF" w:themeColor="background1"/>
                <w:szCs w:val="20"/>
              </w:rPr>
              <w:t>Pregunta de referencia</w:t>
            </w:r>
          </w:p>
        </w:tc>
        <w:tc>
          <w:tcPr>
            <w:tcW w:w="1616" w:type="pct"/>
            <w:shd w:val="clear" w:color="auto" w:fill="595959" w:themeFill="text1" w:themeFillTint="A6"/>
            <w:noWrap/>
            <w:vAlign w:val="center"/>
          </w:tcPr>
          <w:p w14:paraId="155E8C4B" w14:textId="77777777" w:rsidR="0035070E" w:rsidRPr="00074E91" w:rsidRDefault="0035070E" w:rsidP="005718A4">
            <w:pPr>
              <w:spacing w:after="0" w:line="240" w:lineRule="auto"/>
              <w:jc w:val="center"/>
              <w:rPr>
                <w:rFonts w:cs="Arial"/>
                <w:color w:val="FFFFFF" w:themeColor="background1"/>
                <w:szCs w:val="20"/>
              </w:rPr>
            </w:pPr>
            <w:r w:rsidRPr="00074E91">
              <w:rPr>
                <w:rFonts w:cs="Arial"/>
                <w:color w:val="FFFFFF" w:themeColor="background1"/>
                <w:szCs w:val="20"/>
              </w:rPr>
              <w:t>Recomendación</w:t>
            </w:r>
          </w:p>
        </w:tc>
        <w:tc>
          <w:tcPr>
            <w:tcW w:w="633" w:type="pct"/>
            <w:shd w:val="clear" w:color="auto" w:fill="595959" w:themeFill="text1" w:themeFillTint="A6"/>
            <w:vAlign w:val="center"/>
          </w:tcPr>
          <w:p w14:paraId="6738CF44" w14:textId="53A1C5E2" w:rsidR="0035070E" w:rsidRPr="00074E91" w:rsidRDefault="00FC4BED" w:rsidP="005718A4">
            <w:pPr>
              <w:spacing w:after="0" w:line="240" w:lineRule="auto"/>
              <w:jc w:val="center"/>
              <w:rPr>
                <w:rFonts w:cs="Arial"/>
                <w:color w:val="FFFFFF" w:themeColor="background1"/>
                <w:szCs w:val="20"/>
              </w:rPr>
            </w:pPr>
            <w:r w:rsidRPr="00074E91">
              <w:rPr>
                <w:rFonts w:cs="Arial"/>
                <w:color w:val="FFFFFF" w:themeColor="background1"/>
                <w:szCs w:val="20"/>
              </w:rPr>
              <w:t>Horizonte de atención</w:t>
            </w:r>
          </w:p>
        </w:tc>
      </w:tr>
      <w:tr w:rsidR="00572F47" w:rsidRPr="003B4EED" w14:paraId="1F8229D2" w14:textId="77777777" w:rsidTr="00C25B29">
        <w:trPr>
          <w:trHeight w:val="942"/>
          <w:jc w:val="center"/>
        </w:trPr>
        <w:tc>
          <w:tcPr>
            <w:tcW w:w="7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A152391" w14:textId="77777777" w:rsidR="00572F47" w:rsidRPr="003B4EED" w:rsidRDefault="00572F47" w:rsidP="00572F47">
            <w:pPr>
              <w:spacing w:after="0" w:line="240" w:lineRule="auto"/>
              <w:jc w:val="center"/>
              <w:rPr>
                <w:rFonts w:cs="Arial"/>
                <w:sz w:val="18"/>
                <w:szCs w:val="18"/>
              </w:rPr>
            </w:pPr>
            <w:r w:rsidRPr="003B4EED">
              <w:rPr>
                <w:rFonts w:cs="Arial"/>
                <w:sz w:val="18"/>
                <w:szCs w:val="18"/>
              </w:rPr>
              <w:t>Consistencia programática y normativa</w:t>
            </w:r>
          </w:p>
        </w:tc>
        <w:tc>
          <w:tcPr>
            <w:tcW w:w="138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8025F73" w14:textId="77777777" w:rsidR="00572F47" w:rsidRPr="003B4EED" w:rsidRDefault="00572F47" w:rsidP="00572F47">
            <w:pPr>
              <w:spacing w:after="0" w:line="240" w:lineRule="auto"/>
              <w:rPr>
                <w:rFonts w:cs="Arial"/>
                <w:sz w:val="18"/>
                <w:szCs w:val="18"/>
              </w:rPr>
            </w:pPr>
            <w:r w:rsidRPr="003B4EED">
              <w:rPr>
                <w:rFonts w:cs="Arial"/>
                <w:sz w:val="18"/>
                <w:szCs w:val="18"/>
              </w:rPr>
              <w:t>Ausencia total de evidencia y cumplimiento (0%)</w:t>
            </w:r>
          </w:p>
        </w:tc>
        <w:tc>
          <w:tcPr>
            <w:tcW w:w="60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E14764D" w14:textId="77777777" w:rsidR="00572F47" w:rsidRPr="003B4EED" w:rsidRDefault="00572F47" w:rsidP="00572F47">
            <w:pPr>
              <w:spacing w:after="0" w:line="240" w:lineRule="auto"/>
              <w:jc w:val="center"/>
              <w:rPr>
                <w:rFonts w:cs="Arial"/>
                <w:sz w:val="18"/>
                <w:szCs w:val="18"/>
              </w:rPr>
            </w:pPr>
            <w:r w:rsidRPr="003B4EED">
              <w:rPr>
                <w:rFonts w:cs="Arial"/>
                <w:sz w:val="18"/>
                <w:szCs w:val="18"/>
              </w:rPr>
              <w:t>23</w:t>
            </w:r>
          </w:p>
        </w:tc>
        <w:tc>
          <w:tcPr>
            <w:tcW w:w="161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20B324D" w14:textId="77777777" w:rsidR="00572F47" w:rsidRPr="003B4EED" w:rsidRDefault="00572F47" w:rsidP="00572F47">
            <w:pPr>
              <w:spacing w:after="0" w:line="240" w:lineRule="auto"/>
              <w:rPr>
                <w:rFonts w:cs="Arial"/>
                <w:sz w:val="18"/>
                <w:szCs w:val="18"/>
              </w:rPr>
            </w:pPr>
            <w:r w:rsidRPr="003B4EED">
              <w:rPr>
                <w:rFonts w:cs="Arial"/>
                <w:sz w:val="18"/>
                <w:szCs w:val="18"/>
              </w:rPr>
              <w:t>Alinear el Pp con la normatividad aplicable y documentar su consistencia programática</w:t>
            </w:r>
          </w:p>
        </w:tc>
        <w:tc>
          <w:tcPr>
            <w:tcW w:w="63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D442E69" w14:textId="77777777" w:rsidR="00C25B29" w:rsidRDefault="00572F47" w:rsidP="00572F47">
            <w:pPr>
              <w:spacing w:after="0" w:line="240" w:lineRule="auto"/>
              <w:jc w:val="center"/>
              <w:rPr>
                <w:rFonts w:cs="Arial"/>
                <w:sz w:val="18"/>
                <w:szCs w:val="18"/>
              </w:rPr>
            </w:pPr>
            <w:r w:rsidRPr="003B4EED">
              <w:rPr>
                <w:rFonts w:cs="Arial"/>
                <w:sz w:val="18"/>
                <w:szCs w:val="18"/>
              </w:rPr>
              <w:t xml:space="preserve">Corto </w:t>
            </w:r>
          </w:p>
          <w:p w14:paraId="62959501" w14:textId="1551C6CC" w:rsidR="00572F47" w:rsidRPr="003B4EED" w:rsidRDefault="00572F47" w:rsidP="00572F47">
            <w:pPr>
              <w:spacing w:after="0" w:line="240" w:lineRule="auto"/>
              <w:jc w:val="center"/>
              <w:rPr>
                <w:rFonts w:cs="Arial"/>
                <w:sz w:val="18"/>
                <w:szCs w:val="18"/>
              </w:rPr>
            </w:pPr>
            <w:r w:rsidRPr="003B4EED">
              <w:rPr>
                <w:rFonts w:cs="Arial"/>
                <w:sz w:val="18"/>
                <w:szCs w:val="18"/>
              </w:rPr>
              <w:t>plazo</w:t>
            </w:r>
          </w:p>
        </w:tc>
      </w:tr>
      <w:tr w:rsidR="00572F47" w:rsidRPr="003B4EED" w14:paraId="631F41FA" w14:textId="77777777" w:rsidTr="00C25B29">
        <w:trPr>
          <w:trHeight w:val="769"/>
          <w:jc w:val="center"/>
        </w:trPr>
        <w:tc>
          <w:tcPr>
            <w:tcW w:w="7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F8B2AB0" w14:textId="77777777" w:rsidR="00572F47" w:rsidRPr="003B4EED" w:rsidRDefault="00572F47" w:rsidP="00572F47">
            <w:pPr>
              <w:spacing w:after="0" w:line="240" w:lineRule="auto"/>
              <w:jc w:val="center"/>
              <w:rPr>
                <w:rFonts w:cs="Arial"/>
                <w:sz w:val="18"/>
                <w:szCs w:val="18"/>
              </w:rPr>
            </w:pPr>
            <w:r w:rsidRPr="003B4EED">
              <w:rPr>
                <w:rFonts w:cs="Arial"/>
                <w:sz w:val="18"/>
                <w:szCs w:val="18"/>
              </w:rPr>
              <w:t>Diseño operativo</w:t>
            </w:r>
          </w:p>
        </w:tc>
        <w:tc>
          <w:tcPr>
            <w:tcW w:w="138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8F19420" w14:textId="77777777" w:rsidR="00572F47" w:rsidRPr="003B4EED" w:rsidRDefault="00572F47" w:rsidP="00572F47">
            <w:pPr>
              <w:spacing w:after="0" w:line="240" w:lineRule="auto"/>
              <w:rPr>
                <w:rFonts w:cs="Arial"/>
                <w:sz w:val="18"/>
                <w:szCs w:val="18"/>
              </w:rPr>
            </w:pPr>
            <w:r w:rsidRPr="003B4EED">
              <w:rPr>
                <w:rFonts w:cs="Arial"/>
                <w:sz w:val="18"/>
                <w:szCs w:val="18"/>
              </w:rPr>
              <w:t>Bajo nivel de desarrollo y formalización de procesos (30%)</w:t>
            </w:r>
          </w:p>
        </w:tc>
        <w:tc>
          <w:tcPr>
            <w:tcW w:w="60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6CC88EF" w14:textId="77777777" w:rsidR="00572F47" w:rsidRPr="003B4EED" w:rsidRDefault="00572F47" w:rsidP="00572F47">
            <w:pPr>
              <w:spacing w:after="0" w:line="240" w:lineRule="auto"/>
              <w:jc w:val="center"/>
              <w:rPr>
                <w:rFonts w:cs="Arial"/>
                <w:sz w:val="18"/>
                <w:szCs w:val="18"/>
              </w:rPr>
            </w:pPr>
            <w:r w:rsidRPr="003B4EED">
              <w:rPr>
                <w:rFonts w:cs="Arial"/>
                <w:sz w:val="18"/>
                <w:szCs w:val="18"/>
              </w:rPr>
              <w:t>11–20</w:t>
            </w:r>
          </w:p>
        </w:tc>
        <w:tc>
          <w:tcPr>
            <w:tcW w:w="161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FAE15A9" w14:textId="77777777" w:rsidR="00572F47" w:rsidRPr="003B4EED" w:rsidRDefault="00572F47" w:rsidP="00572F47">
            <w:pPr>
              <w:spacing w:after="0" w:line="240" w:lineRule="auto"/>
              <w:rPr>
                <w:rFonts w:cs="Arial"/>
                <w:sz w:val="18"/>
                <w:szCs w:val="18"/>
              </w:rPr>
            </w:pPr>
            <w:r w:rsidRPr="003B4EED">
              <w:rPr>
                <w:rFonts w:cs="Arial"/>
                <w:sz w:val="18"/>
                <w:szCs w:val="18"/>
              </w:rPr>
              <w:t>Estandarizar procedimientos, definir responsables y documentar flujos operativos</w:t>
            </w:r>
          </w:p>
        </w:tc>
        <w:tc>
          <w:tcPr>
            <w:tcW w:w="63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C664144" w14:textId="77777777" w:rsidR="00C25B29" w:rsidRDefault="00572F47" w:rsidP="00572F47">
            <w:pPr>
              <w:spacing w:after="0" w:line="240" w:lineRule="auto"/>
              <w:jc w:val="center"/>
              <w:rPr>
                <w:rFonts w:cs="Arial"/>
                <w:sz w:val="18"/>
                <w:szCs w:val="18"/>
              </w:rPr>
            </w:pPr>
            <w:r w:rsidRPr="003B4EED">
              <w:rPr>
                <w:rFonts w:cs="Arial"/>
                <w:sz w:val="18"/>
                <w:szCs w:val="18"/>
              </w:rPr>
              <w:t xml:space="preserve">Corto </w:t>
            </w:r>
          </w:p>
          <w:p w14:paraId="6481D041" w14:textId="3BB57C17" w:rsidR="00572F47" w:rsidRPr="003B4EED" w:rsidRDefault="00572F47" w:rsidP="00572F47">
            <w:pPr>
              <w:spacing w:after="0" w:line="240" w:lineRule="auto"/>
              <w:jc w:val="center"/>
              <w:rPr>
                <w:rFonts w:cs="Arial"/>
                <w:sz w:val="18"/>
                <w:szCs w:val="18"/>
              </w:rPr>
            </w:pPr>
            <w:r w:rsidRPr="003B4EED">
              <w:rPr>
                <w:rFonts w:cs="Arial"/>
                <w:sz w:val="18"/>
                <w:szCs w:val="18"/>
              </w:rPr>
              <w:t>plazo</w:t>
            </w:r>
          </w:p>
        </w:tc>
      </w:tr>
      <w:tr w:rsidR="00572F47" w:rsidRPr="003B4EED" w14:paraId="4BE1D940" w14:textId="77777777" w:rsidTr="00C25B29">
        <w:trPr>
          <w:trHeight w:val="939"/>
          <w:jc w:val="center"/>
        </w:trPr>
        <w:tc>
          <w:tcPr>
            <w:tcW w:w="7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132F108" w14:textId="77777777" w:rsidR="00572F47" w:rsidRPr="003B4EED" w:rsidRDefault="00572F47" w:rsidP="00572F47">
            <w:pPr>
              <w:spacing w:after="0" w:line="240" w:lineRule="auto"/>
              <w:jc w:val="center"/>
              <w:rPr>
                <w:rFonts w:cs="Arial"/>
                <w:sz w:val="18"/>
                <w:szCs w:val="18"/>
              </w:rPr>
            </w:pPr>
            <w:r w:rsidRPr="003B4EED">
              <w:rPr>
                <w:rFonts w:cs="Arial"/>
                <w:sz w:val="18"/>
                <w:szCs w:val="18"/>
              </w:rPr>
              <w:t>Diseño de la propuesta de atención</w:t>
            </w:r>
          </w:p>
        </w:tc>
        <w:tc>
          <w:tcPr>
            <w:tcW w:w="138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A55983F" w14:textId="77777777" w:rsidR="00572F47" w:rsidRPr="003B4EED" w:rsidRDefault="00572F47" w:rsidP="00572F47">
            <w:pPr>
              <w:spacing w:after="0" w:line="240" w:lineRule="auto"/>
              <w:rPr>
                <w:rFonts w:cs="Arial"/>
                <w:sz w:val="18"/>
                <w:szCs w:val="18"/>
              </w:rPr>
            </w:pPr>
            <w:r w:rsidRPr="003B4EED">
              <w:rPr>
                <w:rFonts w:cs="Arial"/>
                <w:sz w:val="18"/>
                <w:szCs w:val="18"/>
              </w:rPr>
              <w:t>Deficiencias en la estructuración de la intervención (29.41%)</w:t>
            </w:r>
          </w:p>
        </w:tc>
        <w:tc>
          <w:tcPr>
            <w:tcW w:w="60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0BE88A6" w14:textId="77777777" w:rsidR="00572F47" w:rsidRPr="003B4EED" w:rsidRDefault="00572F47" w:rsidP="00572F47">
            <w:pPr>
              <w:spacing w:after="0" w:line="240" w:lineRule="auto"/>
              <w:jc w:val="center"/>
              <w:rPr>
                <w:rFonts w:cs="Arial"/>
                <w:sz w:val="18"/>
                <w:szCs w:val="18"/>
              </w:rPr>
            </w:pPr>
            <w:r w:rsidRPr="003B4EED">
              <w:rPr>
                <w:rFonts w:cs="Arial"/>
                <w:sz w:val="18"/>
                <w:szCs w:val="18"/>
              </w:rPr>
              <w:t>6–10</w:t>
            </w:r>
          </w:p>
        </w:tc>
        <w:tc>
          <w:tcPr>
            <w:tcW w:w="161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88D0106" w14:textId="77777777" w:rsidR="00572F47" w:rsidRPr="003B4EED" w:rsidRDefault="00572F47" w:rsidP="00572F47">
            <w:pPr>
              <w:spacing w:after="0" w:line="240" w:lineRule="auto"/>
              <w:rPr>
                <w:rFonts w:cs="Arial"/>
                <w:sz w:val="18"/>
                <w:szCs w:val="18"/>
              </w:rPr>
            </w:pPr>
            <w:r w:rsidRPr="003B4EED">
              <w:rPr>
                <w:rFonts w:cs="Arial"/>
                <w:sz w:val="18"/>
                <w:szCs w:val="18"/>
              </w:rPr>
              <w:t>Fortalecer la MIR y la coherencia entre problema, objetivos, componentes y actividades</w:t>
            </w:r>
          </w:p>
        </w:tc>
        <w:tc>
          <w:tcPr>
            <w:tcW w:w="63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8702397" w14:textId="77777777" w:rsidR="00C25B29" w:rsidRDefault="00572F47" w:rsidP="00572F47">
            <w:pPr>
              <w:spacing w:after="0" w:line="240" w:lineRule="auto"/>
              <w:jc w:val="center"/>
              <w:rPr>
                <w:rFonts w:cs="Arial"/>
                <w:sz w:val="18"/>
                <w:szCs w:val="18"/>
              </w:rPr>
            </w:pPr>
            <w:r w:rsidRPr="003B4EED">
              <w:rPr>
                <w:rFonts w:cs="Arial"/>
                <w:sz w:val="18"/>
                <w:szCs w:val="18"/>
              </w:rPr>
              <w:t xml:space="preserve">Corto </w:t>
            </w:r>
          </w:p>
          <w:p w14:paraId="646D3046" w14:textId="39E2AF69" w:rsidR="00572F47" w:rsidRPr="003B4EED" w:rsidRDefault="00572F47" w:rsidP="00572F47">
            <w:pPr>
              <w:spacing w:after="0" w:line="240" w:lineRule="auto"/>
              <w:jc w:val="center"/>
              <w:rPr>
                <w:rFonts w:cs="Arial"/>
                <w:sz w:val="18"/>
                <w:szCs w:val="18"/>
              </w:rPr>
            </w:pPr>
            <w:r w:rsidRPr="003B4EED">
              <w:rPr>
                <w:rFonts w:cs="Arial"/>
                <w:sz w:val="18"/>
                <w:szCs w:val="18"/>
              </w:rPr>
              <w:t>plazo</w:t>
            </w:r>
          </w:p>
        </w:tc>
      </w:tr>
      <w:tr w:rsidR="00572F47" w:rsidRPr="003B4EED" w14:paraId="70872B59" w14:textId="77777777" w:rsidTr="00C25B29">
        <w:trPr>
          <w:trHeight w:val="1067"/>
          <w:jc w:val="center"/>
        </w:trPr>
        <w:tc>
          <w:tcPr>
            <w:tcW w:w="7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25854B4" w14:textId="77777777" w:rsidR="00572F47" w:rsidRPr="003B4EED" w:rsidRDefault="00572F47" w:rsidP="00572F47">
            <w:pPr>
              <w:spacing w:after="0" w:line="240" w:lineRule="auto"/>
              <w:jc w:val="center"/>
              <w:rPr>
                <w:rFonts w:cs="Arial"/>
                <w:sz w:val="18"/>
                <w:szCs w:val="18"/>
              </w:rPr>
            </w:pPr>
            <w:r w:rsidRPr="003B4EED">
              <w:rPr>
                <w:rFonts w:cs="Arial"/>
                <w:sz w:val="18"/>
                <w:szCs w:val="18"/>
              </w:rPr>
              <w:t>Instrumento de Seguimiento del Desempeño</w:t>
            </w:r>
          </w:p>
        </w:tc>
        <w:tc>
          <w:tcPr>
            <w:tcW w:w="138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1B638D0" w14:textId="77777777" w:rsidR="00572F47" w:rsidRPr="003B4EED" w:rsidRDefault="00572F47" w:rsidP="00572F47">
            <w:pPr>
              <w:spacing w:after="0" w:line="240" w:lineRule="auto"/>
              <w:rPr>
                <w:rFonts w:cs="Arial"/>
                <w:sz w:val="18"/>
                <w:szCs w:val="18"/>
              </w:rPr>
            </w:pPr>
            <w:r w:rsidRPr="003B4EED">
              <w:rPr>
                <w:rFonts w:cs="Arial"/>
                <w:sz w:val="18"/>
                <w:szCs w:val="18"/>
              </w:rPr>
              <w:t>Debilidades en monitoreo, evaluación y trazabilidad (30%)</w:t>
            </w:r>
          </w:p>
        </w:tc>
        <w:tc>
          <w:tcPr>
            <w:tcW w:w="60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6AE389D" w14:textId="77777777" w:rsidR="00572F47" w:rsidRPr="003B4EED" w:rsidRDefault="00572F47" w:rsidP="00572F47">
            <w:pPr>
              <w:spacing w:after="0" w:line="240" w:lineRule="auto"/>
              <w:jc w:val="center"/>
              <w:rPr>
                <w:rFonts w:cs="Arial"/>
                <w:sz w:val="18"/>
                <w:szCs w:val="18"/>
              </w:rPr>
            </w:pPr>
            <w:r w:rsidRPr="003B4EED">
              <w:rPr>
                <w:rFonts w:cs="Arial"/>
                <w:sz w:val="18"/>
                <w:szCs w:val="18"/>
              </w:rPr>
              <w:t>25–29</w:t>
            </w:r>
          </w:p>
        </w:tc>
        <w:tc>
          <w:tcPr>
            <w:tcW w:w="161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4BEA998" w14:textId="77777777" w:rsidR="00572F47" w:rsidRPr="003B4EED" w:rsidRDefault="00572F47" w:rsidP="00572F47">
            <w:pPr>
              <w:spacing w:after="0" w:line="240" w:lineRule="auto"/>
              <w:rPr>
                <w:rFonts w:cs="Arial"/>
                <w:sz w:val="18"/>
                <w:szCs w:val="18"/>
              </w:rPr>
            </w:pPr>
            <w:r w:rsidRPr="003B4EED">
              <w:rPr>
                <w:rFonts w:cs="Arial"/>
                <w:sz w:val="18"/>
                <w:szCs w:val="18"/>
              </w:rPr>
              <w:t>Incorporar indicadores de resultados, mejorar medios de verificación y asegurar su publicación</w:t>
            </w:r>
          </w:p>
        </w:tc>
        <w:tc>
          <w:tcPr>
            <w:tcW w:w="63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17CEC6F" w14:textId="77777777" w:rsidR="00572F47" w:rsidRPr="003B4EED" w:rsidRDefault="00572F47" w:rsidP="00572F47">
            <w:pPr>
              <w:spacing w:after="0" w:line="240" w:lineRule="auto"/>
              <w:jc w:val="center"/>
              <w:rPr>
                <w:rFonts w:cs="Arial"/>
                <w:sz w:val="18"/>
                <w:szCs w:val="18"/>
              </w:rPr>
            </w:pPr>
            <w:r w:rsidRPr="003B4EED">
              <w:rPr>
                <w:rFonts w:cs="Arial"/>
                <w:sz w:val="18"/>
                <w:szCs w:val="18"/>
              </w:rPr>
              <w:t>Mediano plazo</w:t>
            </w:r>
          </w:p>
        </w:tc>
      </w:tr>
      <w:tr w:rsidR="00572F47" w:rsidRPr="003B4EED" w14:paraId="7C40214D" w14:textId="77777777" w:rsidTr="00C25B29">
        <w:trPr>
          <w:trHeight w:val="914"/>
          <w:jc w:val="center"/>
        </w:trPr>
        <w:tc>
          <w:tcPr>
            <w:tcW w:w="7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C96EB0C" w14:textId="77777777" w:rsidR="00572F47" w:rsidRPr="003B4EED" w:rsidRDefault="00572F47" w:rsidP="00572F47">
            <w:pPr>
              <w:spacing w:after="0" w:line="240" w:lineRule="auto"/>
              <w:jc w:val="center"/>
              <w:rPr>
                <w:rFonts w:cs="Arial"/>
                <w:sz w:val="18"/>
                <w:szCs w:val="18"/>
              </w:rPr>
            </w:pPr>
            <w:r w:rsidRPr="003B4EED">
              <w:rPr>
                <w:rFonts w:cs="Arial"/>
                <w:sz w:val="18"/>
                <w:szCs w:val="18"/>
              </w:rPr>
              <w:t>Problema o necesidad pública</w:t>
            </w:r>
          </w:p>
        </w:tc>
        <w:tc>
          <w:tcPr>
            <w:tcW w:w="138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4C3ECA0" w14:textId="77777777" w:rsidR="00572F47" w:rsidRPr="003B4EED" w:rsidRDefault="00572F47" w:rsidP="00572F47">
            <w:pPr>
              <w:spacing w:after="0" w:line="240" w:lineRule="auto"/>
              <w:rPr>
                <w:rFonts w:cs="Arial"/>
                <w:sz w:val="18"/>
                <w:szCs w:val="18"/>
              </w:rPr>
            </w:pPr>
            <w:r w:rsidRPr="003B4EED">
              <w:rPr>
                <w:rFonts w:cs="Arial"/>
                <w:sz w:val="18"/>
                <w:szCs w:val="18"/>
              </w:rPr>
              <w:t>Riesgo de inconsistencia en la delimitación de la población objetivo</w:t>
            </w:r>
          </w:p>
        </w:tc>
        <w:tc>
          <w:tcPr>
            <w:tcW w:w="60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B59719E" w14:textId="77777777" w:rsidR="00572F47" w:rsidRPr="003B4EED" w:rsidRDefault="00572F47" w:rsidP="00572F47">
            <w:pPr>
              <w:spacing w:after="0" w:line="240" w:lineRule="auto"/>
              <w:jc w:val="center"/>
              <w:rPr>
                <w:rFonts w:cs="Arial"/>
                <w:sz w:val="18"/>
                <w:szCs w:val="18"/>
              </w:rPr>
            </w:pPr>
            <w:r w:rsidRPr="003B4EED">
              <w:rPr>
                <w:rFonts w:cs="Arial"/>
                <w:sz w:val="18"/>
                <w:szCs w:val="18"/>
              </w:rPr>
              <w:t>2–5</w:t>
            </w:r>
          </w:p>
        </w:tc>
        <w:tc>
          <w:tcPr>
            <w:tcW w:w="161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1689CC7" w14:textId="77777777" w:rsidR="00572F47" w:rsidRPr="003B4EED" w:rsidRDefault="00572F47" w:rsidP="00572F47">
            <w:pPr>
              <w:spacing w:after="0" w:line="240" w:lineRule="auto"/>
              <w:rPr>
                <w:rFonts w:cs="Arial"/>
                <w:sz w:val="18"/>
                <w:szCs w:val="18"/>
              </w:rPr>
            </w:pPr>
            <w:r w:rsidRPr="003B4EED">
              <w:rPr>
                <w:rFonts w:cs="Arial"/>
                <w:sz w:val="18"/>
                <w:szCs w:val="18"/>
              </w:rPr>
              <w:t>Homologar definiciones de población potencial, objetivo y atendida con fuentes oficiales</w:t>
            </w:r>
          </w:p>
        </w:tc>
        <w:tc>
          <w:tcPr>
            <w:tcW w:w="63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05CFE9C" w14:textId="77777777" w:rsidR="00C25B29" w:rsidRDefault="00572F47" w:rsidP="00572F47">
            <w:pPr>
              <w:spacing w:after="0" w:line="240" w:lineRule="auto"/>
              <w:jc w:val="center"/>
              <w:rPr>
                <w:rFonts w:cs="Arial"/>
                <w:sz w:val="18"/>
                <w:szCs w:val="18"/>
              </w:rPr>
            </w:pPr>
            <w:r w:rsidRPr="003B4EED">
              <w:rPr>
                <w:rFonts w:cs="Arial"/>
                <w:sz w:val="18"/>
                <w:szCs w:val="18"/>
              </w:rPr>
              <w:t xml:space="preserve">Corto </w:t>
            </w:r>
          </w:p>
          <w:p w14:paraId="55536B16" w14:textId="11122689" w:rsidR="00572F47" w:rsidRPr="003B4EED" w:rsidRDefault="00572F47" w:rsidP="00572F47">
            <w:pPr>
              <w:spacing w:after="0" w:line="240" w:lineRule="auto"/>
              <w:jc w:val="center"/>
              <w:rPr>
                <w:rFonts w:cs="Arial"/>
                <w:sz w:val="18"/>
                <w:szCs w:val="18"/>
              </w:rPr>
            </w:pPr>
            <w:r w:rsidRPr="003B4EED">
              <w:rPr>
                <w:rFonts w:cs="Arial"/>
                <w:sz w:val="18"/>
                <w:szCs w:val="18"/>
              </w:rPr>
              <w:t>plazo</w:t>
            </w:r>
          </w:p>
        </w:tc>
      </w:tr>
    </w:tbl>
    <w:p w14:paraId="6B035894" w14:textId="77777777" w:rsidR="00572F50" w:rsidRPr="00074E91" w:rsidRDefault="00572F50" w:rsidP="005718A4">
      <w:pPr>
        <w:spacing w:after="0" w:line="240" w:lineRule="auto"/>
        <w:rPr>
          <w:rFonts w:cs="Arial"/>
          <w:sz w:val="18"/>
        </w:rPr>
      </w:pPr>
    </w:p>
    <w:p w14:paraId="52F50739" w14:textId="77777777" w:rsidR="0035070E" w:rsidRPr="00074E91" w:rsidRDefault="0035070E" w:rsidP="0035070E">
      <w:pPr>
        <w:pStyle w:val="Ttulo3"/>
        <w:rPr>
          <w:rFonts w:cs="Arial"/>
        </w:rPr>
      </w:pPr>
      <w:bookmarkStart w:id="58" w:name="_Toc227668609"/>
      <w:r w:rsidRPr="00074E91">
        <w:rPr>
          <w:rFonts w:cs="Arial"/>
        </w:rPr>
        <w:lastRenderedPageBreak/>
        <w:t>Sec</w:t>
      </w:r>
      <w:r w:rsidR="0040360B" w:rsidRPr="00074E91">
        <w:rPr>
          <w:rFonts w:cs="Arial"/>
        </w:rPr>
        <w:t>ción X</w:t>
      </w:r>
      <w:r w:rsidRPr="00074E91">
        <w:rPr>
          <w:rFonts w:cs="Arial"/>
        </w:rPr>
        <w:t>. Conclusiones generales</w:t>
      </w:r>
      <w:bookmarkEnd w:id="58"/>
    </w:p>
    <w:p w14:paraId="601CCC71" w14:textId="6798D609" w:rsidR="00F06E66" w:rsidRPr="00074E91" w:rsidRDefault="00F06E66" w:rsidP="00F06E66">
      <w:pPr>
        <w:rPr>
          <w:rFonts w:cs="Arial"/>
        </w:rPr>
      </w:pPr>
      <w:r w:rsidRPr="00074E91">
        <w:rPr>
          <w:rFonts w:cs="Arial"/>
        </w:rPr>
        <w:t>El Programa Presupuestario E053 “Servicios de Educación Superior y Posgrado de Calidad” presenta fortalezas relevantes en su alineación estratégica y en la identificación del problema público, pero requiere atención prioritaria en el diseño operativo, la consistencia normativa y el seguimiento del desempeño para consolidar una gestión orientada a resultados. El fortalecimiento de estos elementos permitirá mejorar la efectividad institucional, la transparencia y la capacidad del programa para incidir de manera directa en el bienestar de la población estudiantil.</w:t>
      </w:r>
    </w:p>
    <w:p w14:paraId="11E5A5E2" w14:textId="51CB4358" w:rsidR="00F06E66" w:rsidRPr="00074E91" w:rsidRDefault="00F06E66" w:rsidP="00F06E66">
      <w:pPr>
        <w:rPr>
          <w:rFonts w:cs="Arial"/>
        </w:rPr>
      </w:pPr>
      <w:r w:rsidRPr="00074E91">
        <w:rPr>
          <w:rFonts w:cs="Arial"/>
        </w:rPr>
        <w:t>Con base en los resultados obtenidos en la Matriz de Evaluación, se identifican avances importantes en la contribución a los objetivos de la planeación estatal, donde el programa alcanza el 100% de cumplimiento, reflejando una adecuada alineación con los instrumentos de planeación. Asimismo, en el apartado de problema o necesidad pública, se obtuvo un 81.25% (13 de 16 puntos), lo que evidencia que el programa cuenta con una base sólida en la definición y justificación de la problemática que atiende. No obstante, aún es necesario fortalecer la delimitación y cuantificación de la población objetivo para mejorar la precisión del diseño.</w:t>
      </w:r>
      <w:r w:rsidR="00C25B29">
        <w:rPr>
          <w:rFonts w:cs="Arial"/>
        </w:rPr>
        <w:t xml:space="preserve"> </w:t>
      </w:r>
      <w:r w:rsidRPr="00074E91">
        <w:rPr>
          <w:rFonts w:cs="Arial"/>
        </w:rPr>
        <w:t>En el componente de Diseño de la propuesta de atención, el programa obtuvo 29.41% (5 de 17 puntos), lo que indica debilidades en la estructuración de la lógica de intervención, particularmente en la vinculación entre el problema, los objetivos y los mecanismos de atención. De manera similar, el Diseño operativo alcanzó 30% (9 de 30 puntos), reflejando limitaciones en la formalización, documentación y estandarización de procesos, lo que afecta la eficiencia y consistencia en la implementación del programa.</w:t>
      </w:r>
    </w:p>
    <w:p w14:paraId="1696A63E" w14:textId="5BC9E597" w:rsidR="00F06E66" w:rsidRPr="00074E91" w:rsidRDefault="00F06E66" w:rsidP="00F06E66">
      <w:pPr>
        <w:rPr>
          <w:rFonts w:cs="Arial"/>
        </w:rPr>
      </w:pPr>
      <w:r w:rsidRPr="00074E91">
        <w:rPr>
          <w:rFonts w:cs="Arial"/>
        </w:rPr>
        <w:t>Por su parte, el Instrumento de Seguimiento del Desempeño registró 30% (4 de 12 puntos), evidenciando avances iniciales en la definición de indicadores, pero con importantes áreas de mejora en la medición de resultados, la trazabilidad de la información y la disponibilidad de medios de verificación. Esta situación limita la capacidad para evaluar de manera objetiva el desempeño y los efectos del programa.</w:t>
      </w:r>
    </w:p>
    <w:p w14:paraId="122B33DE" w14:textId="44A695DE" w:rsidR="0035070E" w:rsidRPr="00074E91" w:rsidRDefault="00F06E66" w:rsidP="00F06E66">
      <w:pPr>
        <w:rPr>
          <w:rFonts w:cs="Arial"/>
        </w:rPr>
      </w:pPr>
      <w:r w:rsidRPr="00074E91">
        <w:rPr>
          <w:rFonts w:cs="Arial"/>
        </w:rPr>
        <w:t>Finalmente, la dimensión de Consistencia programática y normativa presenta el nivel más crítico, con 0% de cumplimiento, lo que refleja la ausencia de evidencia que permita validar la congruencia del programa con el marco normativo aplicable y con otros instrumentos programáticos. Esta debilidad representa un riesgo significativo para la solidez institucional del Pp.</w:t>
      </w:r>
      <w:r w:rsidR="00C25B29">
        <w:rPr>
          <w:rFonts w:cs="Arial"/>
        </w:rPr>
        <w:t xml:space="preserve"> </w:t>
      </w:r>
      <w:r w:rsidRPr="00074E91">
        <w:rPr>
          <w:rFonts w:cs="Arial"/>
        </w:rPr>
        <w:t>En conjunto, el análisis muestra que, si bien el programa cuenta con bases estratégicas y de planeación bien definidas, persisten brechas importantes en su diseño, operación y evaluación, lo que impide consolidar una gestión plenamente orientada a resultados. Atender estas áreas permitirá fortalecer la coherencia interna del programa, mejorar la rendición de cuentas y asegurar que sus acciones contribuyan de manera efectiva al desarrollo educativo y al bienestar de la población en el Estado de Sinaloa.</w:t>
      </w:r>
      <w:r w:rsidR="0035070E" w:rsidRPr="00074E91">
        <w:rPr>
          <w:rFonts w:cs="Arial"/>
        </w:rPr>
        <w:br w:type="page"/>
      </w:r>
    </w:p>
    <w:p w14:paraId="1E718040" w14:textId="77777777" w:rsidR="009E6BE7" w:rsidRPr="00074E91" w:rsidRDefault="0035070E" w:rsidP="0035070E">
      <w:pPr>
        <w:tabs>
          <w:tab w:val="num" w:pos="709"/>
        </w:tabs>
        <w:rPr>
          <w:rFonts w:cs="Arial"/>
        </w:rPr>
      </w:pPr>
      <w:r w:rsidRPr="00074E91">
        <w:rPr>
          <w:rFonts w:cs="Arial"/>
          <w:noProof/>
          <w:lang w:eastAsia="es-MX"/>
        </w:rPr>
        <w:lastRenderedPageBreak/>
        <mc:AlternateContent>
          <mc:Choice Requires="wps">
            <w:drawing>
              <wp:inline distT="0" distB="0" distL="0" distR="0" wp14:anchorId="624BE584" wp14:editId="14B0F051">
                <wp:extent cx="5610225" cy="360000"/>
                <wp:effectExtent l="0" t="0" r="9525" b="2540"/>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60000"/>
                        </a:xfrm>
                        <a:prstGeom prst="rect">
                          <a:avLst/>
                        </a:prstGeom>
                        <a:gradFill flip="none" rotWithShape="1">
                          <a:gsLst>
                            <a:gs pos="19000">
                              <a:schemeClr val="bg1"/>
                            </a:gs>
                            <a:gs pos="55000">
                              <a:schemeClr val="bg1">
                                <a:lumMod val="85000"/>
                              </a:schemeClr>
                            </a:gs>
                            <a:gs pos="79000">
                              <a:schemeClr val="bg1">
                                <a:lumMod val="65000"/>
                              </a:schemeClr>
                            </a:gs>
                            <a:gs pos="94000">
                              <a:schemeClr val="bg1">
                                <a:lumMod val="50000"/>
                              </a:schemeClr>
                            </a:gs>
                          </a:gsLst>
                          <a:lin ang="0" scaled="1"/>
                          <a:tileRect/>
                        </a:gradFill>
                        <a:ln w="9525">
                          <a:noFill/>
                          <a:miter lim="800000"/>
                          <a:headEnd/>
                          <a:tailEnd/>
                        </a:ln>
                      </wps:spPr>
                      <wps:txbx>
                        <w:txbxContent>
                          <w:p w14:paraId="5B969305" w14:textId="77777777" w:rsidR="00F43EAE" w:rsidRPr="008E0C59" w:rsidRDefault="00F43EAE" w:rsidP="00190ACD">
                            <w:pPr>
                              <w:pStyle w:val="Ttulo1"/>
                              <w:numPr>
                                <w:ilvl w:val="0"/>
                                <w:numId w:val="11"/>
                              </w:numPr>
                              <w:jc w:val="left"/>
                              <w:rPr>
                                <w:rFonts w:cs="Times New Roman"/>
                                <w:szCs w:val="22"/>
                              </w:rPr>
                            </w:pPr>
                            <w:bookmarkStart w:id="59" w:name="_Toc227668610"/>
                            <w:r>
                              <w:rPr>
                                <w:rFonts w:cs="Times New Roman"/>
                                <w:szCs w:val="22"/>
                              </w:rPr>
                              <w:t>Disposiciones Generales</w:t>
                            </w:r>
                            <w:bookmarkEnd w:id="59"/>
                          </w:p>
                        </w:txbxContent>
                      </wps:txbx>
                      <wps:bodyPr rot="0" vert="horz" wrap="square" lIns="91440" tIns="45720" rIns="91440" bIns="45720" anchor="ctr" anchorCtr="0">
                        <a:noAutofit/>
                      </wps:bodyPr>
                    </wps:wsp>
                  </a:graphicData>
                </a:graphic>
              </wp:inline>
            </w:drawing>
          </mc:Choice>
          <mc:Fallback>
            <w:pict>
              <v:shape w14:anchorId="624BE584" id="_x0000_s1031" type="#_x0000_t202" style="width:441.7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" fillcolor="white [3212]" stroked="f">
                <v:fill color2="#7f7f7f [1612]" rotate="t" angle="90" colors="0 white;12452f white;36045f #d9d9d9;51773f #a6a6a6" focus="100%" type="gradient"/>
                <v:textbox>
                  <w:txbxContent>
                    <w:p w14:paraId="5B969305" w14:textId="77777777" w:rsidR="00F43EAE" w:rsidRPr="008E0C59" w:rsidRDefault="00F43EAE" w:rsidP="00190ACD">
                      <w:pPr>
                        <w:pStyle w:val="Ttulo1"/>
                        <w:numPr>
                          <w:ilvl w:val="0"/>
                          <w:numId w:val="11"/>
                        </w:numPr>
                        <w:jc w:val="left"/>
                        <w:rPr>
                          <w:rFonts w:cs="Times New Roman"/>
                          <w:szCs w:val="22"/>
                        </w:rPr>
                      </w:pPr>
                      <w:bookmarkStart w:id="60" w:name="_Toc227668610"/>
                      <w:r>
                        <w:rPr>
                          <w:rFonts w:cs="Times New Roman"/>
                          <w:szCs w:val="22"/>
                        </w:rPr>
                        <w:t>Disposiciones Generales</w:t>
                      </w:r>
                      <w:bookmarkEnd w:id="60"/>
                    </w:p>
                  </w:txbxContent>
                </v:textbox>
                <w10:anchorlock/>
              </v:shape>
            </w:pict>
          </mc:Fallback>
        </mc:AlternateContent>
      </w:r>
    </w:p>
    <w:p w14:paraId="0351DE5C" w14:textId="77777777" w:rsidR="0099543D" w:rsidRPr="00074E91" w:rsidRDefault="0099543D" w:rsidP="0099543D">
      <w:pPr>
        <w:rPr>
          <w:rFonts w:cs="Arial"/>
          <w:b/>
        </w:rPr>
      </w:pPr>
      <w:r w:rsidRPr="00074E91">
        <w:rPr>
          <w:rFonts w:cs="Arial"/>
          <w:b/>
        </w:rPr>
        <w:t>Perfil de la instancia evaluadora</w:t>
      </w:r>
    </w:p>
    <w:tbl>
      <w:tblPr>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1413"/>
        <w:gridCol w:w="2410"/>
        <w:gridCol w:w="2268"/>
        <w:gridCol w:w="2737"/>
      </w:tblGrid>
      <w:tr w:rsidR="00CA55D0" w:rsidRPr="00074E91" w14:paraId="5C7AB11F" w14:textId="77777777" w:rsidTr="00C25B29">
        <w:trPr>
          <w:trHeight w:val="835"/>
          <w:tblHeader/>
          <w:jc w:val="center"/>
        </w:trPr>
        <w:tc>
          <w:tcPr>
            <w:tcW w:w="1413" w:type="dxa"/>
            <w:shd w:val="clear" w:color="auto" w:fill="404040" w:themeFill="text1" w:themeFillTint="BF"/>
            <w:vAlign w:val="center"/>
          </w:tcPr>
          <w:p w14:paraId="76CC315B" w14:textId="77777777" w:rsidR="0099543D" w:rsidRPr="00074E91" w:rsidRDefault="0099543D" w:rsidP="00207D8D">
            <w:pPr>
              <w:spacing w:after="0" w:line="240" w:lineRule="auto"/>
              <w:jc w:val="center"/>
              <w:rPr>
                <w:rFonts w:cs="Arial"/>
                <w:color w:val="FFFFFF" w:themeColor="background1"/>
              </w:rPr>
            </w:pPr>
            <w:bookmarkStart w:id="61" w:name="_Hlk209009935"/>
            <w:r w:rsidRPr="00074E91">
              <w:rPr>
                <w:rFonts w:cs="Arial"/>
                <w:color w:val="FFFFFF" w:themeColor="background1"/>
              </w:rPr>
              <w:br w:type="page"/>
            </w:r>
            <w:r w:rsidR="0040360B" w:rsidRPr="00074E91">
              <w:rPr>
                <w:rFonts w:cs="Arial"/>
                <w:color w:val="FFFFFF" w:themeColor="background1"/>
              </w:rPr>
              <w:t xml:space="preserve">Nombre y </w:t>
            </w:r>
            <w:r w:rsidRPr="00074E91">
              <w:rPr>
                <w:rFonts w:cs="Arial"/>
                <w:color w:val="FFFFFF" w:themeColor="background1"/>
              </w:rPr>
              <w:t>Cargo en el Equipo</w:t>
            </w:r>
          </w:p>
        </w:tc>
        <w:tc>
          <w:tcPr>
            <w:tcW w:w="2410" w:type="dxa"/>
            <w:shd w:val="clear" w:color="auto" w:fill="404040" w:themeFill="text1" w:themeFillTint="BF"/>
            <w:vAlign w:val="center"/>
          </w:tcPr>
          <w:p w14:paraId="128E6A46" w14:textId="77777777" w:rsidR="0099543D" w:rsidRPr="00074E91" w:rsidRDefault="0099543D" w:rsidP="00207D8D">
            <w:pPr>
              <w:spacing w:after="0" w:line="240" w:lineRule="auto"/>
              <w:jc w:val="center"/>
              <w:rPr>
                <w:rFonts w:cs="Arial"/>
                <w:color w:val="FFFFFF" w:themeColor="background1"/>
              </w:rPr>
            </w:pPr>
            <w:r w:rsidRPr="00074E91">
              <w:rPr>
                <w:rFonts w:cs="Arial"/>
                <w:color w:val="FFFFFF" w:themeColor="background1"/>
              </w:rPr>
              <w:t>Requisitos Académicos</w:t>
            </w:r>
            <w:r w:rsidR="00D25998" w:rsidRPr="00074E91">
              <w:rPr>
                <w:rFonts w:cs="Arial"/>
                <w:color w:val="FFFFFF" w:themeColor="background1"/>
              </w:rPr>
              <w:t xml:space="preserve"> de Enlace y Colaboradores</w:t>
            </w:r>
          </w:p>
        </w:tc>
        <w:tc>
          <w:tcPr>
            <w:tcW w:w="2268" w:type="dxa"/>
            <w:shd w:val="clear" w:color="auto" w:fill="404040" w:themeFill="text1" w:themeFillTint="BF"/>
            <w:vAlign w:val="center"/>
          </w:tcPr>
          <w:p w14:paraId="7C8FAD5B" w14:textId="77777777" w:rsidR="0099543D" w:rsidRPr="00074E91" w:rsidRDefault="0099543D" w:rsidP="00207D8D">
            <w:pPr>
              <w:spacing w:after="0" w:line="240" w:lineRule="auto"/>
              <w:jc w:val="center"/>
              <w:rPr>
                <w:rFonts w:cs="Arial"/>
                <w:color w:val="FFFFFF" w:themeColor="background1"/>
              </w:rPr>
            </w:pPr>
            <w:r w:rsidRPr="00074E91">
              <w:rPr>
                <w:rFonts w:cs="Arial"/>
                <w:color w:val="FFFFFF" w:themeColor="background1"/>
              </w:rPr>
              <w:t>Experiencia General</w:t>
            </w:r>
          </w:p>
        </w:tc>
        <w:tc>
          <w:tcPr>
            <w:tcW w:w="2737" w:type="dxa"/>
            <w:shd w:val="clear" w:color="auto" w:fill="404040" w:themeFill="text1" w:themeFillTint="BF"/>
            <w:vAlign w:val="center"/>
          </w:tcPr>
          <w:p w14:paraId="2EFA8986" w14:textId="77777777" w:rsidR="0099543D" w:rsidRPr="00074E91" w:rsidRDefault="0099543D" w:rsidP="00207D8D">
            <w:pPr>
              <w:spacing w:after="0" w:line="240" w:lineRule="auto"/>
              <w:jc w:val="center"/>
              <w:rPr>
                <w:rFonts w:cs="Arial"/>
                <w:color w:val="FFFFFF" w:themeColor="background1"/>
              </w:rPr>
            </w:pPr>
            <w:r w:rsidRPr="00074E91">
              <w:rPr>
                <w:rFonts w:cs="Arial"/>
                <w:color w:val="FFFFFF" w:themeColor="background1"/>
              </w:rPr>
              <w:t>Experiencia Específica</w:t>
            </w:r>
          </w:p>
        </w:tc>
      </w:tr>
      <w:tr w:rsidR="00CA55D0" w:rsidRPr="00074E91" w14:paraId="53677620" w14:textId="77777777" w:rsidTr="00C25B29">
        <w:trPr>
          <w:trHeight w:val="5386"/>
          <w:jc w:val="center"/>
        </w:trPr>
        <w:tc>
          <w:tcPr>
            <w:tcW w:w="1413" w:type="dxa"/>
            <w:vAlign w:val="center"/>
          </w:tcPr>
          <w:p w14:paraId="69E9CB20" w14:textId="77777777" w:rsidR="003F4873" w:rsidRPr="00074E91" w:rsidRDefault="00CA55D0" w:rsidP="00176B93">
            <w:pPr>
              <w:spacing w:after="0" w:line="240" w:lineRule="auto"/>
              <w:jc w:val="center"/>
              <w:rPr>
                <w:rFonts w:cs="Arial"/>
              </w:rPr>
            </w:pPr>
            <w:r w:rsidRPr="00074E91">
              <w:rPr>
                <w:rFonts w:cs="Arial"/>
              </w:rPr>
              <w:t>LCP Miguel Ángel Rodelo Ruiz – Enlace institucional de la evaluación</w:t>
            </w:r>
          </w:p>
        </w:tc>
        <w:tc>
          <w:tcPr>
            <w:tcW w:w="2410" w:type="dxa"/>
            <w:vAlign w:val="center"/>
          </w:tcPr>
          <w:p w14:paraId="492274CC" w14:textId="18D19B7F" w:rsidR="00CA55D0" w:rsidRPr="00074E91" w:rsidRDefault="00CA55D0" w:rsidP="00176B93">
            <w:pPr>
              <w:spacing w:after="0" w:line="240" w:lineRule="auto"/>
              <w:rPr>
                <w:rFonts w:cs="Arial"/>
              </w:rPr>
            </w:pPr>
            <w:r w:rsidRPr="00074E91">
              <w:rPr>
                <w:rFonts w:cs="Arial"/>
              </w:rPr>
              <w:t xml:space="preserve">Licenciado en Contaduría Pública. </w:t>
            </w:r>
            <w:r w:rsidR="00DE020C" w:rsidRPr="00074E91">
              <w:rPr>
                <w:rFonts w:cs="Arial"/>
              </w:rPr>
              <w:t xml:space="preserve">Capacitación en </w:t>
            </w:r>
            <w:r w:rsidRPr="00074E91">
              <w:rPr>
                <w:rFonts w:cs="Arial"/>
              </w:rPr>
              <w:t>Presupuesto basado en Resultados y Matriz de Indicadores para Resultados</w:t>
            </w:r>
            <w:r w:rsidR="00DE020C" w:rsidRPr="00074E91">
              <w:rPr>
                <w:rFonts w:cs="Arial"/>
              </w:rPr>
              <w:t xml:space="preserve"> (2025).</w:t>
            </w:r>
          </w:p>
        </w:tc>
        <w:tc>
          <w:tcPr>
            <w:tcW w:w="2268" w:type="dxa"/>
            <w:vAlign w:val="center"/>
          </w:tcPr>
          <w:p w14:paraId="49E79EB6" w14:textId="0F335DEA" w:rsidR="003F4873" w:rsidRPr="00074E91" w:rsidRDefault="00DE020C" w:rsidP="00176B93">
            <w:pPr>
              <w:spacing w:after="0" w:line="240" w:lineRule="auto"/>
              <w:rPr>
                <w:rFonts w:cs="Arial"/>
              </w:rPr>
            </w:pPr>
            <w:r w:rsidRPr="00074E91">
              <w:rPr>
                <w:rFonts w:cs="Arial"/>
              </w:rPr>
              <w:t>Responsable de la planeación institucional, programación y seguimiento del presupuesto en la Universidad Tecnológica de Culiacán; coordinación de indicadores institucionales, así como de los reportes estadísticos ante autoridades educativas. Se ha desempeñado como Jefe de Estadística del Instituto de la Defensoría Pública del Estado de Sinaloa y forma parte del Comité de Control Interno (COCODI) de la UTC.</w:t>
            </w:r>
          </w:p>
        </w:tc>
        <w:tc>
          <w:tcPr>
            <w:tcW w:w="2737" w:type="dxa"/>
            <w:vAlign w:val="center"/>
          </w:tcPr>
          <w:p w14:paraId="343F479D" w14:textId="314C7683" w:rsidR="00DE020C" w:rsidRPr="00074E91" w:rsidRDefault="00DE020C" w:rsidP="00DE020C">
            <w:pPr>
              <w:spacing w:after="0" w:line="240" w:lineRule="auto"/>
              <w:rPr>
                <w:rFonts w:cs="Arial"/>
              </w:rPr>
            </w:pPr>
            <w:r w:rsidRPr="00074E91">
              <w:rPr>
                <w:rFonts w:cs="Arial"/>
              </w:rPr>
              <w:t>Diseño, revisión y actualización del PTA; coordinación e integración de matrices MIR de programas presupuestarios; responsable del llenado de formatos estadísticos oficiales (911, artículo 37), así como de la articulación de la administración de riesgos en el marco del COCODI de la UTC.</w:t>
            </w:r>
          </w:p>
          <w:p w14:paraId="55C07579" w14:textId="409BCE1F" w:rsidR="003F4873" w:rsidRPr="00074E91" w:rsidRDefault="003F4873" w:rsidP="00176B93">
            <w:pPr>
              <w:spacing w:after="0" w:line="240" w:lineRule="auto"/>
              <w:rPr>
                <w:rFonts w:cs="Arial"/>
              </w:rPr>
            </w:pPr>
          </w:p>
        </w:tc>
      </w:tr>
      <w:tr w:rsidR="00CA55D0" w:rsidRPr="00074E91" w14:paraId="06EDEB11" w14:textId="77777777" w:rsidTr="00C25B29">
        <w:trPr>
          <w:trHeight w:val="4932"/>
          <w:jc w:val="center"/>
        </w:trPr>
        <w:tc>
          <w:tcPr>
            <w:tcW w:w="1413" w:type="dxa"/>
            <w:vAlign w:val="center"/>
          </w:tcPr>
          <w:p w14:paraId="432B9B4B" w14:textId="77777777" w:rsidR="003F4873" w:rsidRPr="00074E91" w:rsidRDefault="00CA55D0" w:rsidP="00176B93">
            <w:pPr>
              <w:spacing w:after="0" w:line="240" w:lineRule="auto"/>
              <w:jc w:val="center"/>
              <w:rPr>
                <w:rFonts w:cs="Arial"/>
              </w:rPr>
            </w:pPr>
            <w:r w:rsidRPr="00074E91">
              <w:rPr>
                <w:rFonts w:cs="Arial"/>
              </w:rPr>
              <w:t>LPP Jorge Cruz Liévano – Colaborador de la evaluación</w:t>
            </w:r>
          </w:p>
        </w:tc>
        <w:tc>
          <w:tcPr>
            <w:tcW w:w="2410" w:type="dxa"/>
            <w:vAlign w:val="center"/>
          </w:tcPr>
          <w:p w14:paraId="7AF154C6" w14:textId="77777777" w:rsidR="003F4873" w:rsidRPr="00074E91" w:rsidRDefault="00CA55D0" w:rsidP="00176B93">
            <w:pPr>
              <w:spacing w:after="0" w:line="240" w:lineRule="auto"/>
              <w:rPr>
                <w:rFonts w:cs="Arial"/>
              </w:rPr>
            </w:pPr>
            <w:r w:rsidRPr="00074E91">
              <w:rPr>
                <w:rFonts w:cs="Arial"/>
              </w:rPr>
              <w:t>Licenciado en Políticas Públicas (UAS), titulado por tesis sobre planeación estratégica del turismo comunitario. Coautor de artículo relacionado con dicho tema</w:t>
            </w:r>
            <w:r w:rsidR="00176B93" w:rsidRPr="00074E91">
              <w:rPr>
                <w:rFonts w:cs="Arial"/>
              </w:rPr>
              <w:t xml:space="preserve"> (ISSN 2659-5494, 2020)</w:t>
            </w:r>
            <w:r w:rsidRPr="00074E91">
              <w:rPr>
                <w:rFonts w:cs="Arial"/>
              </w:rPr>
              <w:t xml:space="preserve">. Diplomado en Presupuesto basado en Resultados (2025), curso “Introducción a la Administración Pública Federal” (2025), Lean Six Sigma White Belt </w:t>
            </w:r>
            <w:proofErr w:type="spellStart"/>
            <w:r w:rsidRPr="00074E91">
              <w:rPr>
                <w:rFonts w:cs="Arial"/>
              </w:rPr>
              <w:t>Certification</w:t>
            </w:r>
            <w:proofErr w:type="spellEnd"/>
            <w:r w:rsidRPr="00074E91">
              <w:rPr>
                <w:rFonts w:cs="Arial"/>
              </w:rPr>
              <w:t xml:space="preserve"> (2025) y curso “Vinculación del PbR y la contabilidad gubernamental” (ASE, 2023).</w:t>
            </w:r>
          </w:p>
        </w:tc>
        <w:tc>
          <w:tcPr>
            <w:tcW w:w="2268" w:type="dxa"/>
            <w:vAlign w:val="center"/>
          </w:tcPr>
          <w:p w14:paraId="174E298B" w14:textId="77777777" w:rsidR="003F4873" w:rsidRPr="00074E91" w:rsidRDefault="00CA55D0" w:rsidP="00176B93">
            <w:pPr>
              <w:spacing w:after="0" w:line="240" w:lineRule="auto"/>
              <w:rPr>
                <w:rFonts w:cs="Arial"/>
              </w:rPr>
            </w:pPr>
            <w:r w:rsidRPr="00074E91">
              <w:rPr>
                <w:rFonts w:cs="Arial"/>
              </w:rPr>
              <w:t>Experiencia en planeación institucional, seguimiento de indicadores institucionales y gestión de activos fijos en la Universidad Tecnológica de Culiacán; elaboración y actualización de POA, PIDE e indicadores estratégicos SEAES, así como apoyo en informes y atención de auditorías. Experiencia en investigación y planeación estratégica.</w:t>
            </w:r>
          </w:p>
        </w:tc>
        <w:tc>
          <w:tcPr>
            <w:tcW w:w="2737" w:type="dxa"/>
            <w:vAlign w:val="center"/>
          </w:tcPr>
          <w:p w14:paraId="2C9C657B" w14:textId="77777777" w:rsidR="00CF62E5" w:rsidRPr="00074E91" w:rsidRDefault="00CA55D0" w:rsidP="00176B93">
            <w:pPr>
              <w:spacing w:line="240" w:lineRule="auto"/>
              <w:rPr>
                <w:rFonts w:cs="Arial"/>
              </w:rPr>
            </w:pPr>
            <w:r w:rsidRPr="00074E91">
              <w:rPr>
                <w:rFonts w:cs="Arial"/>
              </w:rPr>
              <w:t>Diseño, propuesta, seguimiento y actualización del POA, PIDE e indicadores institucionales; integración y seguimiento de indicadores SEAES; apoyo estructural a las actividades de control interno (desde 2024) y de contraloría social (desde 2025). Apoyo en la sistematización y análisis de la estadística institucional (formato 911, artículo 37 y apartado estadístico de DGUTyP), bajo la conducción del enlace institucional.</w:t>
            </w:r>
          </w:p>
        </w:tc>
      </w:tr>
      <w:bookmarkEnd w:id="61"/>
    </w:tbl>
    <w:p w14:paraId="705F944F" w14:textId="77777777" w:rsidR="008764C3" w:rsidRPr="00074E91" w:rsidRDefault="008764C3" w:rsidP="008764C3">
      <w:pPr>
        <w:spacing w:after="0" w:line="240" w:lineRule="auto"/>
        <w:jc w:val="left"/>
        <w:rPr>
          <w:rFonts w:cs="Arial"/>
          <w:b/>
        </w:rPr>
      </w:pPr>
    </w:p>
    <w:p w14:paraId="58AD5415" w14:textId="77777777" w:rsidR="008764C3" w:rsidRPr="00074E91" w:rsidRDefault="008764C3" w:rsidP="008764C3">
      <w:pPr>
        <w:spacing w:line="276" w:lineRule="auto"/>
        <w:jc w:val="left"/>
        <w:rPr>
          <w:rFonts w:cs="Arial"/>
          <w:b/>
        </w:rPr>
      </w:pPr>
      <w:r w:rsidRPr="00074E91">
        <w:rPr>
          <w:rFonts w:cs="Arial"/>
          <w:b/>
        </w:rPr>
        <w:lastRenderedPageBreak/>
        <w:t>Fuentes de Información</w:t>
      </w:r>
    </w:p>
    <w:p w14:paraId="0C7F90E2" w14:textId="77777777" w:rsidR="001A0FE5" w:rsidRPr="00C25B29" w:rsidRDefault="001A0FE5" w:rsidP="00C25B29">
      <w:pPr>
        <w:pStyle w:val="Prrafodelista"/>
        <w:numPr>
          <w:ilvl w:val="0"/>
          <w:numId w:val="57"/>
        </w:numPr>
        <w:spacing w:line="276" w:lineRule="auto"/>
        <w:ind w:left="360"/>
        <w:rPr>
          <w:rFonts w:eastAsia="Times New Roman" w:cs="Arial"/>
          <w:szCs w:val="20"/>
          <w:lang w:eastAsia="es-MX"/>
        </w:rPr>
      </w:pPr>
      <w:r w:rsidRPr="00C25B29">
        <w:rPr>
          <w:rFonts w:eastAsia="Times New Roman" w:cs="Arial"/>
          <w:szCs w:val="20"/>
          <w:lang w:eastAsia="es-MX"/>
        </w:rPr>
        <w:t>Marco de creación y normatividad institucional</w:t>
      </w:r>
    </w:p>
    <w:p w14:paraId="14E5ED1F" w14:textId="77777777" w:rsidR="001A0FE5" w:rsidRPr="00C25B29" w:rsidRDefault="001A0FE5" w:rsidP="00C25B29">
      <w:pPr>
        <w:pStyle w:val="Prrafodelista"/>
        <w:numPr>
          <w:ilvl w:val="0"/>
          <w:numId w:val="58"/>
        </w:numPr>
        <w:spacing w:line="276" w:lineRule="auto"/>
        <w:ind w:left="708"/>
        <w:rPr>
          <w:rFonts w:eastAsia="Times New Roman" w:cs="Arial"/>
          <w:szCs w:val="20"/>
          <w:lang w:eastAsia="es-MX"/>
        </w:rPr>
      </w:pPr>
      <w:r w:rsidRPr="00C25B29">
        <w:rPr>
          <w:rFonts w:eastAsia="Times New Roman" w:cs="Arial"/>
          <w:szCs w:val="20"/>
          <w:lang w:eastAsia="es-MX"/>
        </w:rPr>
        <w:t xml:space="preserve">Gobierno del Estado de Sinaloa.  </w:t>
      </w:r>
      <w:r w:rsidRPr="00C25B29">
        <w:rPr>
          <w:rFonts w:eastAsia="Times New Roman" w:cs="Arial"/>
          <w:i/>
          <w:iCs/>
          <w:szCs w:val="20"/>
          <w:lang w:eastAsia="es-MX"/>
        </w:rPr>
        <w:t>Decreto de creación de la Universidad Tecnológica de Culiacán.</w:t>
      </w:r>
      <w:r w:rsidRPr="00C25B29">
        <w:rPr>
          <w:rFonts w:eastAsia="Times New Roman" w:cs="Arial"/>
          <w:szCs w:val="20"/>
          <w:lang w:eastAsia="es-MX"/>
        </w:rPr>
        <w:t xml:space="preserve"> Periódico Oficial “El Estado de Sinaloa”, 3 de julio de 2013.</w:t>
      </w:r>
    </w:p>
    <w:p w14:paraId="53C66885" w14:textId="77777777" w:rsidR="001A0FE5" w:rsidRPr="00C25B29" w:rsidRDefault="001A0FE5" w:rsidP="00C25B29">
      <w:pPr>
        <w:pStyle w:val="Prrafodelista"/>
        <w:numPr>
          <w:ilvl w:val="0"/>
          <w:numId w:val="58"/>
        </w:numPr>
        <w:spacing w:line="276" w:lineRule="auto"/>
        <w:ind w:left="708"/>
        <w:rPr>
          <w:rFonts w:eastAsia="Times New Roman" w:cs="Arial"/>
          <w:i/>
          <w:iCs/>
          <w:szCs w:val="20"/>
          <w:lang w:eastAsia="es-MX"/>
        </w:rPr>
      </w:pPr>
      <w:r w:rsidRPr="00C25B29">
        <w:rPr>
          <w:rFonts w:eastAsia="Times New Roman" w:cs="Arial"/>
          <w:szCs w:val="20"/>
          <w:lang w:eastAsia="es-MX"/>
        </w:rPr>
        <w:t xml:space="preserve">Universidad Tecnológica de Culiacán. </w:t>
      </w:r>
      <w:r w:rsidRPr="00C25B29">
        <w:rPr>
          <w:rFonts w:eastAsia="Times New Roman" w:cs="Arial"/>
          <w:i/>
          <w:iCs/>
          <w:szCs w:val="20"/>
          <w:lang w:eastAsia="es-MX"/>
        </w:rPr>
        <w:t>REH-DOC-001 Manual de Organización.</w:t>
      </w:r>
    </w:p>
    <w:p w14:paraId="7DA4A13C" w14:textId="77777777" w:rsidR="001A0FE5" w:rsidRPr="00C25B29" w:rsidRDefault="001A0FE5" w:rsidP="00C25B29">
      <w:pPr>
        <w:pStyle w:val="Prrafodelista"/>
        <w:numPr>
          <w:ilvl w:val="0"/>
          <w:numId w:val="58"/>
        </w:numPr>
        <w:spacing w:line="276" w:lineRule="auto"/>
        <w:ind w:left="708"/>
        <w:rPr>
          <w:rFonts w:eastAsia="Times New Roman" w:cs="Arial"/>
          <w:i/>
          <w:iCs/>
          <w:szCs w:val="20"/>
          <w:lang w:eastAsia="es-MX"/>
        </w:rPr>
      </w:pPr>
      <w:r w:rsidRPr="00C25B29">
        <w:rPr>
          <w:rFonts w:eastAsia="Times New Roman" w:cs="Arial"/>
          <w:szCs w:val="20"/>
          <w:lang w:eastAsia="es-MX"/>
        </w:rPr>
        <w:t xml:space="preserve">Universidad Tecnológica de Culiacán. </w:t>
      </w:r>
      <w:r w:rsidRPr="00C25B29">
        <w:rPr>
          <w:rFonts w:eastAsia="Times New Roman" w:cs="Arial"/>
          <w:i/>
          <w:iCs/>
          <w:szCs w:val="20"/>
          <w:lang w:eastAsia="es-MX"/>
        </w:rPr>
        <w:t>Código de Conducta de la UTC.</w:t>
      </w:r>
    </w:p>
    <w:p w14:paraId="2FCA82B8" w14:textId="77777777" w:rsidR="001A0FE5" w:rsidRPr="00C25B29" w:rsidRDefault="001A0FE5" w:rsidP="00C25B29">
      <w:pPr>
        <w:pStyle w:val="Prrafodelista"/>
        <w:numPr>
          <w:ilvl w:val="0"/>
          <w:numId w:val="58"/>
        </w:numPr>
        <w:spacing w:line="276" w:lineRule="auto"/>
        <w:ind w:left="708"/>
        <w:rPr>
          <w:rFonts w:eastAsia="Times New Roman" w:cs="Arial"/>
          <w:i/>
          <w:iCs/>
          <w:szCs w:val="20"/>
          <w:lang w:eastAsia="es-MX"/>
        </w:rPr>
      </w:pPr>
      <w:r w:rsidRPr="00C25B29">
        <w:rPr>
          <w:rFonts w:eastAsia="Times New Roman" w:cs="Arial"/>
          <w:szCs w:val="20"/>
          <w:lang w:eastAsia="es-MX"/>
        </w:rPr>
        <w:t xml:space="preserve">Universidad Tecnológica de Culiacán. </w:t>
      </w:r>
      <w:r w:rsidRPr="00C25B29">
        <w:rPr>
          <w:rFonts w:eastAsia="Times New Roman" w:cs="Arial"/>
          <w:i/>
          <w:iCs/>
          <w:szCs w:val="20"/>
          <w:lang w:eastAsia="es-MX"/>
        </w:rPr>
        <w:t>Guía de quejas y denuncias de la UTC.</w:t>
      </w:r>
    </w:p>
    <w:p w14:paraId="07059381" w14:textId="77777777" w:rsidR="00544A63" w:rsidRPr="00C25B29" w:rsidRDefault="00544A63" w:rsidP="00C25B29">
      <w:pPr>
        <w:pStyle w:val="Prrafodelista"/>
        <w:spacing w:line="276" w:lineRule="auto"/>
        <w:ind w:left="708"/>
        <w:rPr>
          <w:rFonts w:eastAsia="Times New Roman" w:cs="Arial"/>
          <w:i/>
          <w:iCs/>
          <w:szCs w:val="20"/>
          <w:lang w:eastAsia="es-MX"/>
        </w:rPr>
      </w:pPr>
    </w:p>
    <w:p w14:paraId="7BF87A5A" w14:textId="77777777" w:rsidR="001A0FE5" w:rsidRPr="00C25B29" w:rsidRDefault="001A0FE5" w:rsidP="00C25B29">
      <w:pPr>
        <w:pStyle w:val="Prrafodelista"/>
        <w:numPr>
          <w:ilvl w:val="0"/>
          <w:numId w:val="57"/>
        </w:numPr>
        <w:spacing w:line="276" w:lineRule="auto"/>
        <w:ind w:left="360"/>
        <w:rPr>
          <w:rFonts w:eastAsia="Times New Roman" w:cs="Arial"/>
          <w:szCs w:val="20"/>
          <w:lang w:eastAsia="es-MX"/>
        </w:rPr>
      </w:pPr>
      <w:r w:rsidRPr="00C25B29">
        <w:rPr>
          <w:rFonts w:eastAsia="Times New Roman" w:cs="Arial"/>
          <w:szCs w:val="20"/>
          <w:lang w:eastAsia="es-MX"/>
        </w:rPr>
        <w:t>Planeación, diagnóstico institucional y gestión</w:t>
      </w:r>
    </w:p>
    <w:p w14:paraId="067ABB45" w14:textId="77777777" w:rsidR="001A0FE5" w:rsidRPr="00C25B29" w:rsidRDefault="001A0FE5" w:rsidP="00C25B29">
      <w:pPr>
        <w:pStyle w:val="Prrafodelista"/>
        <w:numPr>
          <w:ilvl w:val="0"/>
          <w:numId w:val="59"/>
        </w:numPr>
        <w:spacing w:line="276" w:lineRule="auto"/>
        <w:ind w:left="708"/>
        <w:rPr>
          <w:rFonts w:eastAsia="Times New Roman" w:cs="Arial"/>
          <w:i/>
          <w:iCs/>
          <w:szCs w:val="20"/>
          <w:lang w:eastAsia="es-MX"/>
        </w:rPr>
      </w:pPr>
      <w:r w:rsidRPr="00C25B29">
        <w:rPr>
          <w:rFonts w:eastAsia="Times New Roman" w:cs="Arial"/>
          <w:szCs w:val="20"/>
          <w:lang w:eastAsia="es-MX"/>
        </w:rPr>
        <w:t xml:space="preserve">Universidad Tecnológica de Culiacán. </w:t>
      </w:r>
      <w:r w:rsidRPr="00C25B29">
        <w:rPr>
          <w:rFonts w:eastAsia="Times New Roman" w:cs="Arial"/>
          <w:i/>
          <w:iCs/>
          <w:szCs w:val="20"/>
          <w:lang w:eastAsia="es-MX"/>
        </w:rPr>
        <w:t>Programa Institucional de Desarrollo (PIDE) 2022–2027.</w:t>
      </w:r>
    </w:p>
    <w:p w14:paraId="2D6F0130" w14:textId="77777777" w:rsidR="001A0FE5" w:rsidRPr="00C25B29" w:rsidRDefault="001A0FE5" w:rsidP="00C25B29">
      <w:pPr>
        <w:pStyle w:val="Prrafodelista"/>
        <w:numPr>
          <w:ilvl w:val="0"/>
          <w:numId w:val="59"/>
        </w:numPr>
        <w:spacing w:line="276" w:lineRule="auto"/>
        <w:ind w:left="708"/>
        <w:rPr>
          <w:rFonts w:eastAsia="Times New Roman" w:cs="Arial"/>
          <w:i/>
          <w:iCs/>
          <w:szCs w:val="20"/>
          <w:lang w:eastAsia="es-MX"/>
        </w:rPr>
      </w:pPr>
      <w:r w:rsidRPr="00C25B29">
        <w:rPr>
          <w:rFonts w:eastAsia="Times New Roman" w:cs="Arial"/>
          <w:szCs w:val="20"/>
          <w:lang w:eastAsia="es-MX"/>
        </w:rPr>
        <w:t xml:space="preserve">Universidad Tecnológica de Culiacán. </w:t>
      </w:r>
      <w:r w:rsidRPr="00C25B29">
        <w:rPr>
          <w:rFonts w:eastAsia="Times New Roman" w:cs="Arial"/>
          <w:i/>
          <w:iCs/>
          <w:szCs w:val="20"/>
          <w:lang w:eastAsia="es-MX"/>
        </w:rPr>
        <w:t>Informe Final Institucional de la UTC 2018–2024.</w:t>
      </w:r>
      <w:r w:rsidRPr="00C25B29">
        <w:rPr>
          <w:rFonts w:eastAsia="Times New Roman" w:cs="Arial"/>
          <w:szCs w:val="20"/>
          <w:lang w:eastAsia="es-MX"/>
        </w:rPr>
        <w:br/>
        <w:t xml:space="preserve">Universidad Tecnológica de Culiacán. </w:t>
      </w:r>
      <w:r w:rsidRPr="00C25B29">
        <w:rPr>
          <w:rFonts w:eastAsia="Times New Roman" w:cs="Arial"/>
          <w:i/>
          <w:iCs/>
          <w:szCs w:val="20"/>
          <w:lang w:eastAsia="es-MX"/>
        </w:rPr>
        <w:t>Informe de Gestión 2018–2024 de la Universidad Tecnológica de Culiacán.</w:t>
      </w:r>
    </w:p>
    <w:p w14:paraId="168D4DFB" w14:textId="77777777" w:rsidR="001A0FE5" w:rsidRPr="00C25B29" w:rsidRDefault="001A0FE5" w:rsidP="00C25B29">
      <w:pPr>
        <w:pStyle w:val="Prrafodelista"/>
        <w:numPr>
          <w:ilvl w:val="0"/>
          <w:numId w:val="59"/>
        </w:numPr>
        <w:spacing w:line="276" w:lineRule="auto"/>
        <w:ind w:left="708"/>
        <w:rPr>
          <w:rFonts w:eastAsia="Times New Roman" w:cs="Arial"/>
          <w:szCs w:val="20"/>
          <w:lang w:eastAsia="es-MX"/>
        </w:rPr>
      </w:pPr>
      <w:r w:rsidRPr="00C25B29">
        <w:rPr>
          <w:rFonts w:eastAsia="Times New Roman" w:cs="Arial"/>
          <w:szCs w:val="20"/>
          <w:lang w:eastAsia="es-MX"/>
        </w:rPr>
        <w:t xml:space="preserve">Universidad Tecnológica de Culiacán. </w:t>
      </w:r>
      <w:r w:rsidRPr="00C25B29">
        <w:rPr>
          <w:rFonts w:eastAsia="Times New Roman" w:cs="Arial"/>
          <w:i/>
          <w:iCs/>
          <w:szCs w:val="20"/>
          <w:lang w:eastAsia="es-MX"/>
        </w:rPr>
        <w:t>Capítulo V. Actividades Sustantivas 2024.</w:t>
      </w:r>
      <w:r w:rsidRPr="00C25B29">
        <w:rPr>
          <w:rFonts w:eastAsia="Times New Roman" w:cs="Arial"/>
          <w:szCs w:val="20"/>
          <w:lang w:eastAsia="es-MX"/>
        </w:rPr>
        <w:br/>
        <w:t>Informes trimestrales que detallan acciones académicas, de vinculación y servicios del año 2024:</w:t>
      </w:r>
    </w:p>
    <w:p w14:paraId="45F54ADC" w14:textId="77777777" w:rsidR="001A0FE5" w:rsidRPr="00C25B29" w:rsidRDefault="001A0FE5" w:rsidP="00C25B29">
      <w:pPr>
        <w:pStyle w:val="Prrafodelista"/>
        <w:numPr>
          <w:ilvl w:val="0"/>
          <w:numId w:val="59"/>
        </w:numPr>
        <w:spacing w:line="276" w:lineRule="auto"/>
        <w:ind w:left="708"/>
        <w:rPr>
          <w:rFonts w:eastAsia="Times New Roman" w:cs="Arial"/>
          <w:szCs w:val="20"/>
          <w:lang w:eastAsia="es-MX"/>
        </w:rPr>
      </w:pPr>
      <w:r w:rsidRPr="00C25B29">
        <w:rPr>
          <w:rFonts w:eastAsia="Times New Roman" w:cs="Arial"/>
          <w:szCs w:val="20"/>
          <w:lang w:eastAsia="es-MX"/>
        </w:rPr>
        <w:t>Enero–marzo 2024 (archivo: “CAPÍTULO V. ACTIVIDADES SUSTANTIVAS ENE-MAR 2024”).</w:t>
      </w:r>
    </w:p>
    <w:p w14:paraId="6E45A7FF" w14:textId="77777777" w:rsidR="001A0FE5" w:rsidRPr="00C25B29" w:rsidRDefault="001A0FE5" w:rsidP="00C25B29">
      <w:pPr>
        <w:pStyle w:val="Prrafodelista"/>
        <w:numPr>
          <w:ilvl w:val="0"/>
          <w:numId w:val="59"/>
        </w:numPr>
        <w:spacing w:line="276" w:lineRule="auto"/>
        <w:ind w:left="708"/>
        <w:rPr>
          <w:rFonts w:eastAsia="Times New Roman" w:cs="Arial"/>
          <w:szCs w:val="20"/>
          <w:lang w:eastAsia="es-MX"/>
        </w:rPr>
      </w:pPr>
      <w:r w:rsidRPr="00C25B29">
        <w:rPr>
          <w:rFonts w:eastAsia="Times New Roman" w:cs="Arial"/>
          <w:szCs w:val="20"/>
          <w:lang w:eastAsia="es-MX"/>
        </w:rPr>
        <w:t>Abril–junio 2024 (archivo: “CAPÍTULO V. ACTIVIDADES SUSTANTIVAS ABRIL-JUNIO 2024”).</w:t>
      </w:r>
    </w:p>
    <w:p w14:paraId="014AC5D2" w14:textId="77777777" w:rsidR="001A0FE5" w:rsidRPr="00C25B29" w:rsidRDefault="001A0FE5" w:rsidP="00C25B29">
      <w:pPr>
        <w:pStyle w:val="Prrafodelista"/>
        <w:numPr>
          <w:ilvl w:val="0"/>
          <w:numId w:val="59"/>
        </w:numPr>
        <w:spacing w:line="276" w:lineRule="auto"/>
        <w:ind w:left="708"/>
        <w:rPr>
          <w:rFonts w:eastAsia="Times New Roman" w:cs="Arial"/>
          <w:szCs w:val="20"/>
          <w:lang w:eastAsia="es-MX"/>
        </w:rPr>
      </w:pPr>
      <w:r w:rsidRPr="00C25B29">
        <w:rPr>
          <w:rFonts w:eastAsia="Times New Roman" w:cs="Arial"/>
          <w:szCs w:val="20"/>
          <w:lang w:eastAsia="es-MX"/>
        </w:rPr>
        <w:t xml:space="preserve">Julio–septiembre 2024 (archivo: “CAPÍTULO V. ACTIVIDADES SUSTANTIVAS </w:t>
      </w:r>
      <w:proofErr w:type="spellStart"/>
      <w:r w:rsidRPr="00C25B29">
        <w:rPr>
          <w:rFonts w:eastAsia="Times New Roman" w:cs="Arial"/>
          <w:szCs w:val="20"/>
          <w:lang w:eastAsia="es-MX"/>
        </w:rPr>
        <w:t>UTC_jul-sep</w:t>
      </w:r>
      <w:proofErr w:type="spellEnd"/>
      <w:r w:rsidRPr="00C25B29">
        <w:rPr>
          <w:rFonts w:eastAsia="Times New Roman" w:cs="Arial"/>
          <w:szCs w:val="20"/>
          <w:lang w:eastAsia="es-MX"/>
        </w:rPr>
        <w:t>”).</w:t>
      </w:r>
    </w:p>
    <w:p w14:paraId="2C93B739" w14:textId="77777777" w:rsidR="001A0FE5" w:rsidRPr="00C25B29" w:rsidRDefault="001A0FE5" w:rsidP="00C25B29">
      <w:pPr>
        <w:pStyle w:val="Prrafodelista"/>
        <w:numPr>
          <w:ilvl w:val="0"/>
          <w:numId w:val="59"/>
        </w:numPr>
        <w:spacing w:line="276" w:lineRule="auto"/>
        <w:ind w:left="708"/>
        <w:rPr>
          <w:rFonts w:eastAsia="Times New Roman" w:cs="Arial"/>
          <w:szCs w:val="20"/>
          <w:lang w:eastAsia="es-MX"/>
        </w:rPr>
      </w:pPr>
      <w:r w:rsidRPr="00C25B29">
        <w:rPr>
          <w:rFonts w:eastAsia="Times New Roman" w:cs="Arial"/>
          <w:szCs w:val="20"/>
          <w:lang w:eastAsia="es-MX"/>
        </w:rPr>
        <w:t>Octubre–diciembre 2024 (archivo: “CAPÍTULO V. ACTIVIDADES SUTANTIVAS OCT_DIC 2024).</w:t>
      </w:r>
    </w:p>
    <w:p w14:paraId="39E8C672" w14:textId="77777777" w:rsidR="001A0FE5" w:rsidRPr="00C25B29" w:rsidRDefault="001A0FE5" w:rsidP="00C25B29">
      <w:pPr>
        <w:pStyle w:val="Prrafodelista"/>
        <w:numPr>
          <w:ilvl w:val="0"/>
          <w:numId w:val="59"/>
        </w:numPr>
        <w:spacing w:line="276" w:lineRule="auto"/>
        <w:ind w:left="708"/>
        <w:rPr>
          <w:rFonts w:eastAsia="Times New Roman" w:cs="Arial"/>
          <w:szCs w:val="20"/>
          <w:lang w:eastAsia="es-MX"/>
        </w:rPr>
      </w:pPr>
      <w:r w:rsidRPr="00C25B29">
        <w:rPr>
          <w:rFonts w:eastAsia="Times New Roman" w:cs="Arial"/>
          <w:szCs w:val="20"/>
          <w:lang w:eastAsia="es-MX"/>
        </w:rPr>
        <w:t xml:space="preserve">Universidad Tecnológica de Culiacán. </w:t>
      </w:r>
      <w:r w:rsidRPr="00C25B29">
        <w:rPr>
          <w:rFonts w:eastAsia="Times New Roman" w:cs="Arial"/>
          <w:i/>
          <w:iCs/>
          <w:szCs w:val="20"/>
          <w:lang w:eastAsia="es-MX"/>
        </w:rPr>
        <w:t>Reporte de Oficialización de Educación Superior 2024–2025.</w:t>
      </w:r>
      <w:r w:rsidRPr="00C25B29">
        <w:rPr>
          <w:rFonts w:eastAsia="Times New Roman" w:cs="Arial"/>
          <w:szCs w:val="20"/>
          <w:lang w:eastAsia="es-MX"/>
        </w:rPr>
        <w:br/>
        <w:t xml:space="preserve">Universidad Tecnológica de Culiacán. </w:t>
      </w:r>
      <w:r w:rsidRPr="00C25B29">
        <w:rPr>
          <w:rFonts w:eastAsia="Times New Roman" w:cs="Arial"/>
          <w:i/>
          <w:iCs/>
          <w:szCs w:val="20"/>
          <w:lang w:eastAsia="es-MX"/>
        </w:rPr>
        <w:t>Documentos de apoyo específicos elaborados para la evaluación de diseño.</w:t>
      </w:r>
    </w:p>
    <w:p w14:paraId="3211E65C" w14:textId="77777777" w:rsidR="001A0FE5" w:rsidRPr="00C25B29" w:rsidRDefault="001A0FE5" w:rsidP="00C25B29">
      <w:pPr>
        <w:pStyle w:val="Prrafodelista"/>
        <w:numPr>
          <w:ilvl w:val="0"/>
          <w:numId w:val="59"/>
        </w:numPr>
        <w:spacing w:line="276" w:lineRule="auto"/>
        <w:ind w:left="708"/>
        <w:rPr>
          <w:rFonts w:eastAsia="Times New Roman" w:cs="Arial"/>
          <w:szCs w:val="20"/>
          <w:lang w:eastAsia="es-MX"/>
        </w:rPr>
      </w:pPr>
      <w:r w:rsidRPr="00C25B29">
        <w:rPr>
          <w:rFonts w:eastAsia="Times New Roman" w:cs="Arial"/>
          <w:szCs w:val="20"/>
          <w:lang w:eastAsia="es-MX"/>
        </w:rPr>
        <w:t>“Informe Final Institucional de la UTC.docx”</w:t>
      </w:r>
    </w:p>
    <w:p w14:paraId="73BF189B" w14:textId="77777777" w:rsidR="001A0FE5" w:rsidRPr="00C25B29" w:rsidRDefault="001A0FE5" w:rsidP="00C25B29">
      <w:pPr>
        <w:pStyle w:val="Prrafodelista"/>
        <w:numPr>
          <w:ilvl w:val="0"/>
          <w:numId w:val="59"/>
        </w:numPr>
        <w:spacing w:line="276" w:lineRule="auto"/>
        <w:ind w:left="708"/>
        <w:rPr>
          <w:rFonts w:eastAsia="Times New Roman" w:cs="Arial"/>
          <w:szCs w:val="20"/>
          <w:lang w:eastAsia="es-MX"/>
        </w:rPr>
      </w:pPr>
      <w:r w:rsidRPr="00C25B29">
        <w:rPr>
          <w:rFonts w:eastAsia="Times New Roman" w:cs="Arial"/>
          <w:szCs w:val="20"/>
          <w:lang w:val="pt-PT" w:eastAsia="es-MX"/>
        </w:rPr>
        <w:t xml:space="preserve">“Pregunta 15 Servi. Escolares.docx”, “Pregunta 16 Servi. </w:t>
      </w:r>
      <w:r w:rsidRPr="00C25B29">
        <w:rPr>
          <w:rFonts w:eastAsia="Times New Roman" w:cs="Arial"/>
          <w:szCs w:val="20"/>
          <w:lang w:eastAsia="es-MX"/>
        </w:rPr>
        <w:t>Escolares.docx”, “PREGUNTA 18 Y 19.docx”, “Pregunta 21 Tutorías.docx”, que contienen insumos y descripciones específicas de los procesos analizados en las preguntas 15, 16, 18, 19 y 21 de la evaluación.</w:t>
      </w:r>
    </w:p>
    <w:p w14:paraId="051FF390" w14:textId="77777777" w:rsidR="00544A63" w:rsidRPr="00C25B29" w:rsidRDefault="00544A63" w:rsidP="00C25B29">
      <w:pPr>
        <w:pStyle w:val="Prrafodelista"/>
        <w:spacing w:line="276" w:lineRule="auto"/>
        <w:ind w:left="708"/>
        <w:rPr>
          <w:rFonts w:eastAsia="Times New Roman" w:cs="Arial"/>
          <w:szCs w:val="20"/>
          <w:lang w:eastAsia="es-MX"/>
        </w:rPr>
      </w:pPr>
    </w:p>
    <w:p w14:paraId="35CF9B87" w14:textId="77777777" w:rsidR="001A0FE5" w:rsidRPr="00C25B29" w:rsidRDefault="001A0FE5" w:rsidP="00C25B29">
      <w:pPr>
        <w:pStyle w:val="Prrafodelista"/>
        <w:numPr>
          <w:ilvl w:val="0"/>
          <w:numId w:val="57"/>
        </w:numPr>
        <w:spacing w:line="276" w:lineRule="auto"/>
        <w:ind w:left="360"/>
        <w:rPr>
          <w:rFonts w:eastAsia="Times New Roman" w:cs="Arial"/>
          <w:szCs w:val="20"/>
          <w:lang w:eastAsia="es-MX"/>
        </w:rPr>
      </w:pPr>
      <w:r w:rsidRPr="00C25B29">
        <w:rPr>
          <w:rFonts w:eastAsia="Times New Roman" w:cs="Arial"/>
          <w:szCs w:val="20"/>
          <w:lang w:eastAsia="es-MX"/>
        </w:rPr>
        <w:t>Procedimientos académicos y de vinculación (operación del Pp)</w:t>
      </w:r>
    </w:p>
    <w:p w14:paraId="788E5711" w14:textId="77777777" w:rsidR="001A0FE5" w:rsidRPr="00C25B29" w:rsidRDefault="001A0FE5" w:rsidP="00C25B29">
      <w:pPr>
        <w:pStyle w:val="Prrafodelista"/>
        <w:numPr>
          <w:ilvl w:val="0"/>
          <w:numId w:val="60"/>
        </w:numPr>
        <w:spacing w:line="276" w:lineRule="auto"/>
        <w:ind w:left="708"/>
        <w:rPr>
          <w:rFonts w:eastAsia="Times New Roman" w:cs="Arial"/>
          <w:szCs w:val="20"/>
          <w:lang w:eastAsia="es-MX"/>
        </w:rPr>
      </w:pPr>
      <w:r w:rsidRPr="00C25B29">
        <w:rPr>
          <w:rFonts w:eastAsia="Times New Roman" w:cs="Arial"/>
          <w:szCs w:val="20"/>
          <w:lang w:eastAsia="es-MX"/>
        </w:rPr>
        <w:t xml:space="preserve">Universidad Tecnológica de Culiacán. </w:t>
      </w:r>
      <w:r w:rsidRPr="00C25B29">
        <w:rPr>
          <w:rFonts w:eastAsia="Times New Roman" w:cs="Arial"/>
          <w:i/>
          <w:iCs/>
          <w:szCs w:val="20"/>
          <w:lang w:eastAsia="es-MX"/>
        </w:rPr>
        <w:t>PRO-ACA-001 Admisión del alumnado.</w:t>
      </w:r>
      <w:r w:rsidRPr="00C25B29">
        <w:rPr>
          <w:rFonts w:eastAsia="Times New Roman" w:cs="Arial"/>
          <w:szCs w:val="20"/>
          <w:lang w:eastAsia="es-MX"/>
        </w:rPr>
        <w:br/>
        <w:t>Procedimiento para la admisión, requisitos y criterios de ingreso (archivo: “PRO-ACA-001 ADMISIÓN DEL ALUMNADO”).</w:t>
      </w:r>
    </w:p>
    <w:p w14:paraId="07AF1CE4" w14:textId="77777777" w:rsidR="001A0FE5" w:rsidRPr="00C25B29" w:rsidRDefault="001A0FE5" w:rsidP="00C25B29">
      <w:pPr>
        <w:pStyle w:val="Prrafodelista"/>
        <w:numPr>
          <w:ilvl w:val="0"/>
          <w:numId w:val="60"/>
        </w:numPr>
        <w:spacing w:line="276" w:lineRule="auto"/>
        <w:ind w:left="708"/>
        <w:rPr>
          <w:rFonts w:eastAsia="Times New Roman" w:cs="Arial"/>
          <w:szCs w:val="20"/>
          <w:lang w:eastAsia="es-MX"/>
        </w:rPr>
      </w:pPr>
      <w:r w:rsidRPr="00C25B29">
        <w:rPr>
          <w:rFonts w:eastAsia="Times New Roman" w:cs="Arial"/>
          <w:szCs w:val="20"/>
          <w:lang w:eastAsia="es-MX"/>
        </w:rPr>
        <w:t xml:space="preserve">Universidad Tecnológica de Culiacán. </w:t>
      </w:r>
      <w:r w:rsidRPr="00C25B29">
        <w:rPr>
          <w:rFonts w:eastAsia="Times New Roman" w:cs="Arial"/>
          <w:i/>
          <w:iCs/>
          <w:szCs w:val="20"/>
          <w:lang w:eastAsia="es-MX"/>
        </w:rPr>
        <w:t>PRO-ACA-002 Inscripción.</w:t>
      </w:r>
      <w:r w:rsidRPr="00C25B29">
        <w:rPr>
          <w:rFonts w:eastAsia="Times New Roman" w:cs="Arial"/>
          <w:szCs w:val="20"/>
          <w:lang w:eastAsia="es-MX"/>
        </w:rPr>
        <w:br/>
        <w:t>Procedimiento para la inscripción, asignación de matrícula y trámites de credencial (archivo: “PRO-ACA-002 INSCRIPCIÓN”).</w:t>
      </w:r>
    </w:p>
    <w:p w14:paraId="63F41817" w14:textId="77777777" w:rsidR="001A0FE5" w:rsidRPr="00C25B29" w:rsidRDefault="001A0FE5" w:rsidP="00C25B29">
      <w:pPr>
        <w:pStyle w:val="Prrafodelista"/>
        <w:numPr>
          <w:ilvl w:val="0"/>
          <w:numId w:val="60"/>
        </w:numPr>
        <w:spacing w:line="276" w:lineRule="auto"/>
        <w:ind w:left="708"/>
        <w:rPr>
          <w:rFonts w:eastAsia="Times New Roman" w:cs="Arial"/>
          <w:szCs w:val="20"/>
          <w:lang w:eastAsia="es-MX"/>
        </w:rPr>
      </w:pPr>
      <w:r w:rsidRPr="00C25B29">
        <w:rPr>
          <w:rFonts w:eastAsia="Times New Roman" w:cs="Arial"/>
          <w:szCs w:val="20"/>
          <w:lang w:eastAsia="es-MX"/>
        </w:rPr>
        <w:t xml:space="preserve">Universidad Tecnológica de Culiacán. </w:t>
      </w:r>
      <w:r w:rsidRPr="00C25B29">
        <w:rPr>
          <w:rFonts w:eastAsia="Times New Roman" w:cs="Arial"/>
          <w:i/>
          <w:iCs/>
          <w:szCs w:val="20"/>
          <w:lang w:eastAsia="es-MX"/>
        </w:rPr>
        <w:t>PRO-ACA-005 Tutorías.</w:t>
      </w:r>
      <w:r w:rsidRPr="00C25B29">
        <w:rPr>
          <w:rFonts w:eastAsia="Times New Roman" w:cs="Arial"/>
          <w:szCs w:val="20"/>
          <w:lang w:eastAsia="es-MX"/>
        </w:rPr>
        <w:t xml:space="preserve"> Procedimiento que regula la operación de las tutorías académicas y el acompañamiento a estudiantes (archivo: “PRO-ACA-005 TUTORÍAS”).</w:t>
      </w:r>
    </w:p>
    <w:p w14:paraId="264D0C37" w14:textId="77777777" w:rsidR="001A0FE5" w:rsidRPr="00C25B29" w:rsidRDefault="001A0FE5" w:rsidP="00C25B29">
      <w:pPr>
        <w:pStyle w:val="Prrafodelista"/>
        <w:numPr>
          <w:ilvl w:val="0"/>
          <w:numId w:val="60"/>
        </w:numPr>
        <w:spacing w:line="276" w:lineRule="auto"/>
        <w:ind w:left="708"/>
        <w:rPr>
          <w:rFonts w:eastAsia="Times New Roman" w:cs="Arial"/>
          <w:szCs w:val="20"/>
          <w:lang w:eastAsia="es-MX"/>
        </w:rPr>
      </w:pPr>
      <w:r w:rsidRPr="00C25B29">
        <w:rPr>
          <w:rFonts w:eastAsia="Times New Roman" w:cs="Arial"/>
          <w:szCs w:val="20"/>
          <w:lang w:eastAsia="es-MX"/>
        </w:rPr>
        <w:lastRenderedPageBreak/>
        <w:t xml:space="preserve">Universidad Tecnológica de Culiacán. </w:t>
      </w:r>
      <w:r w:rsidRPr="00C25B29">
        <w:rPr>
          <w:rFonts w:eastAsia="Times New Roman" w:cs="Arial"/>
          <w:i/>
          <w:iCs/>
          <w:szCs w:val="20"/>
          <w:lang w:eastAsia="es-MX"/>
        </w:rPr>
        <w:t>PRO-ACA-008 Trámite de título.</w:t>
      </w:r>
      <w:r w:rsidRPr="00C25B29">
        <w:rPr>
          <w:rFonts w:eastAsia="Times New Roman" w:cs="Arial"/>
          <w:szCs w:val="20"/>
          <w:lang w:eastAsia="es-MX"/>
        </w:rPr>
        <w:br/>
        <w:t>Procedimiento para el trámite de titulación del estudiantado (archivo: “PRO-ACA-008 TRÁMITE DE TÍTULO”).</w:t>
      </w:r>
    </w:p>
    <w:p w14:paraId="74DA55FF" w14:textId="77777777" w:rsidR="001A0FE5" w:rsidRPr="00C25B29" w:rsidRDefault="001A0FE5" w:rsidP="00C25B29">
      <w:pPr>
        <w:pStyle w:val="Prrafodelista"/>
        <w:numPr>
          <w:ilvl w:val="0"/>
          <w:numId w:val="60"/>
        </w:numPr>
        <w:spacing w:line="276" w:lineRule="auto"/>
        <w:ind w:left="708"/>
        <w:rPr>
          <w:rFonts w:eastAsia="Times New Roman" w:cs="Arial"/>
          <w:szCs w:val="20"/>
          <w:lang w:eastAsia="es-MX"/>
        </w:rPr>
      </w:pPr>
      <w:r w:rsidRPr="00C25B29">
        <w:rPr>
          <w:rFonts w:eastAsia="Times New Roman" w:cs="Arial"/>
          <w:szCs w:val="20"/>
          <w:lang w:eastAsia="es-MX"/>
        </w:rPr>
        <w:t xml:space="preserve">Universidad Tecnológica de Culiacán. </w:t>
      </w:r>
      <w:r w:rsidRPr="00C25B29">
        <w:rPr>
          <w:rFonts w:eastAsia="Times New Roman" w:cs="Arial"/>
          <w:i/>
          <w:iCs/>
          <w:szCs w:val="20"/>
          <w:lang w:eastAsia="es-MX"/>
        </w:rPr>
        <w:t>PRO-ACA-012 Evaluación integral docente.</w:t>
      </w:r>
      <w:r w:rsidRPr="00C25B29">
        <w:rPr>
          <w:rFonts w:eastAsia="Times New Roman" w:cs="Arial"/>
          <w:szCs w:val="20"/>
          <w:lang w:eastAsia="es-MX"/>
        </w:rPr>
        <w:br/>
        <w:t>Procedimiento que establece el mecanismo de evaluación docente (archivo: “1.18 PRO-ACA-012 EVALUACIÓN INTEGRAL DOCENTE UTC”).</w:t>
      </w:r>
    </w:p>
    <w:p w14:paraId="7722046E" w14:textId="77777777" w:rsidR="001A0FE5" w:rsidRPr="00C25B29" w:rsidRDefault="001A0FE5" w:rsidP="00C25B29">
      <w:pPr>
        <w:pStyle w:val="Prrafodelista"/>
        <w:numPr>
          <w:ilvl w:val="0"/>
          <w:numId w:val="60"/>
        </w:numPr>
        <w:spacing w:line="276" w:lineRule="auto"/>
        <w:ind w:left="708"/>
        <w:rPr>
          <w:rFonts w:eastAsia="Times New Roman" w:cs="Arial"/>
          <w:szCs w:val="20"/>
          <w:lang w:eastAsia="es-MX"/>
        </w:rPr>
      </w:pPr>
      <w:r w:rsidRPr="00C25B29">
        <w:rPr>
          <w:rFonts w:eastAsia="Times New Roman" w:cs="Arial"/>
          <w:szCs w:val="20"/>
          <w:lang w:eastAsia="es-MX"/>
        </w:rPr>
        <w:t xml:space="preserve">Universidad Tecnológica de Culiacán. </w:t>
      </w:r>
      <w:r w:rsidRPr="00C25B29">
        <w:rPr>
          <w:rFonts w:eastAsia="Times New Roman" w:cs="Arial"/>
          <w:i/>
          <w:iCs/>
          <w:szCs w:val="20"/>
          <w:lang w:eastAsia="es-MX"/>
        </w:rPr>
        <w:t>PRO-ACA-017 Estadías profesionales.</w:t>
      </w:r>
      <w:r w:rsidRPr="00C25B29">
        <w:rPr>
          <w:rFonts w:eastAsia="Times New Roman" w:cs="Arial"/>
          <w:szCs w:val="20"/>
          <w:lang w:eastAsia="es-MX"/>
        </w:rPr>
        <w:br/>
        <w:t>Procedimiento que regula el diseño, operación y seguimiento de las estadías profesionales (archivo: “PRO-ACA-017 ESTADÍAS PROFESIONALES”).</w:t>
      </w:r>
    </w:p>
    <w:p w14:paraId="6F10E645" w14:textId="77777777" w:rsidR="001A0FE5" w:rsidRPr="00C25B29" w:rsidRDefault="001A0FE5" w:rsidP="00C25B29">
      <w:pPr>
        <w:pStyle w:val="Prrafodelista"/>
        <w:numPr>
          <w:ilvl w:val="0"/>
          <w:numId w:val="60"/>
        </w:numPr>
        <w:spacing w:line="276" w:lineRule="auto"/>
        <w:ind w:left="708"/>
        <w:rPr>
          <w:rFonts w:eastAsia="Times New Roman" w:cs="Arial"/>
          <w:szCs w:val="20"/>
          <w:lang w:eastAsia="es-MX"/>
        </w:rPr>
      </w:pPr>
      <w:r w:rsidRPr="00C25B29">
        <w:rPr>
          <w:rFonts w:eastAsia="Times New Roman" w:cs="Arial"/>
          <w:szCs w:val="20"/>
          <w:lang w:eastAsia="es-MX"/>
        </w:rPr>
        <w:t xml:space="preserve">Universidad Tecnológica de Culiacán. </w:t>
      </w:r>
      <w:r w:rsidRPr="00C25B29">
        <w:rPr>
          <w:rFonts w:eastAsia="Times New Roman" w:cs="Arial"/>
          <w:i/>
          <w:iCs/>
          <w:szCs w:val="20"/>
          <w:lang w:eastAsia="es-MX"/>
        </w:rPr>
        <w:t>PRO-VIN-002 Seguimiento de egresados.</w:t>
      </w:r>
      <w:r w:rsidRPr="00C25B29">
        <w:rPr>
          <w:rFonts w:eastAsia="Times New Roman" w:cs="Arial"/>
          <w:szCs w:val="20"/>
          <w:lang w:eastAsia="es-MX"/>
        </w:rPr>
        <w:br/>
        <w:t>Procedimiento para la operación del seguimiento de egresadas y egresados (archivo: “PRO-VIN-002 SEGUIMIENTO DE EGRESADOS”).</w:t>
      </w:r>
    </w:p>
    <w:p w14:paraId="765EDE13" w14:textId="77777777" w:rsidR="001A0FE5" w:rsidRPr="00C25B29" w:rsidRDefault="001A0FE5" w:rsidP="00C25B29">
      <w:pPr>
        <w:pStyle w:val="Prrafodelista"/>
        <w:numPr>
          <w:ilvl w:val="0"/>
          <w:numId w:val="60"/>
        </w:numPr>
        <w:spacing w:line="276" w:lineRule="auto"/>
        <w:ind w:left="708"/>
        <w:rPr>
          <w:rFonts w:eastAsia="Times New Roman" w:cs="Arial"/>
          <w:szCs w:val="20"/>
          <w:lang w:eastAsia="es-MX"/>
        </w:rPr>
      </w:pPr>
      <w:r w:rsidRPr="00C25B29">
        <w:rPr>
          <w:rFonts w:eastAsia="Times New Roman" w:cs="Arial"/>
          <w:szCs w:val="20"/>
          <w:lang w:eastAsia="es-MX"/>
        </w:rPr>
        <w:t xml:space="preserve">Universidad Tecnológica de Culiacán. </w:t>
      </w:r>
      <w:r w:rsidRPr="00C25B29">
        <w:rPr>
          <w:rFonts w:eastAsia="Times New Roman" w:cs="Arial"/>
          <w:i/>
          <w:iCs/>
          <w:szCs w:val="20"/>
          <w:lang w:eastAsia="es-MX"/>
        </w:rPr>
        <w:t>PRO-VIN-006 Bolsa de trabajo.</w:t>
      </w:r>
      <w:r w:rsidRPr="00C25B29">
        <w:rPr>
          <w:rFonts w:eastAsia="Times New Roman" w:cs="Arial"/>
          <w:szCs w:val="20"/>
          <w:lang w:eastAsia="es-MX"/>
        </w:rPr>
        <w:br/>
        <w:t>Procedimiento que regula la bolsa de trabajo institucional (archivo: “PRO-VIN-006 BOLSA DE TRABAJO”).</w:t>
      </w:r>
    </w:p>
    <w:p w14:paraId="307A663B" w14:textId="77777777" w:rsidR="001A0FE5" w:rsidRPr="00C25B29" w:rsidRDefault="001A0FE5" w:rsidP="00C25B29">
      <w:pPr>
        <w:pStyle w:val="Prrafodelista"/>
        <w:numPr>
          <w:ilvl w:val="0"/>
          <w:numId w:val="60"/>
        </w:numPr>
        <w:spacing w:line="276" w:lineRule="auto"/>
        <w:ind w:left="708"/>
        <w:rPr>
          <w:rFonts w:eastAsia="Times New Roman" w:cs="Arial"/>
          <w:szCs w:val="20"/>
          <w:lang w:eastAsia="es-MX"/>
        </w:rPr>
      </w:pPr>
      <w:r w:rsidRPr="00C25B29">
        <w:rPr>
          <w:rFonts w:eastAsia="Times New Roman" w:cs="Arial"/>
          <w:szCs w:val="20"/>
          <w:lang w:eastAsia="es-MX"/>
        </w:rPr>
        <w:t xml:space="preserve">Universidad Tecnológica de Culiacán. </w:t>
      </w:r>
      <w:r w:rsidRPr="00C25B29">
        <w:rPr>
          <w:rFonts w:eastAsia="Times New Roman" w:cs="Arial"/>
          <w:i/>
          <w:iCs/>
          <w:szCs w:val="20"/>
          <w:lang w:eastAsia="es-MX"/>
        </w:rPr>
        <w:t>PRO-VIN-007 Visitas empresariales.</w:t>
      </w:r>
      <w:r w:rsidRPr="00C25B29">
        <w:rPr>
          <w:rFonts w:eastAsia="Times New Roman" w:cs="Arial"/>
          <w:szCs w:val="20"/>
          <w:lang w:eastAsia="es-MX"/>
        </w:rPr>
        <w:br/>
        <w:t>Procedimiento para la organización y seguimiento de visitas empresariales (archivo: “PRO-VIN-007 VISITAS EMPRESARIALES”).</w:t>
      </w:r>
    </w:p>
    <w:p w14:paraId="62B0AB7D" w14:textId="77777777" w:rsidR="00544A63" w:rsidRPr="00C25B29" w:rsidRDefault="00544A63" w:rsidP="00C25B29">
      <w:pPr>
        <w:pStyle w:val="Prrafodelista"/>
        <w:spacing w:line="276" w:lineRule="auto"/>
        <w:ind w:left="708"/>
        <w:rPr>
          <w:rFonts w:eastAsia="Times New Roman" w:cs="Arial"/>
          <w:szCs w:val="20"/>
          <w:lang w:eastAsia="es-MX"/>
        </w:rPr>
      </w:pPr>
    </w:p>
    <w:p w14:paraId="2EAFD43F" w14:textId="77777777" w:rsidR="001A0FE5" w:rsidRPr="00C25B29" w:rsidRDefault="001A0FE5" w:rsidP="00C25B29">
      <w:pPr>
        <w:pStyle w:val="Prrafodelista"/>
        <w:numPr>
          <w:ilvl w:val="0"/>
          <w:numId w:val="57"/>
        </w:numPr>
        <w:spacing w:line="276" w:lineRule="auto"/>
        <w:ind w:left="360"/>
        <w:rPr>
          <w:rFonts w:eastAsia="Times New Roman" w:cs="Arial"/>
          <w:szCs w:val="20"/>
          <w:lang w:eastAsia="es-MX"/>
        </w:rPr>
      </w:pPr>
      <w:r w:rsidRPr="00C25B29">
        <w:rPr>
          <w:rFonts w:eastAsia="Times New Roman" w:cs="Arial"/>
          <w:szCs w:val="20"/>
          <w:lang w:eastAsia="es-MX"/>
        </w:rPr>
        <w:t>Información estadística y registros administrativos</w:t>
      </w:r>
    </w:p>
    <w:p w14:paraId="2A6E35B4" w14:textId="77777777" w:rsidR="001A0FE5" w:rsidRPr="00C25B29" w:rsidRDefault="001A0FE5" w:rsidP="00C25B29">
      <w:pPr>
        <w:pStyle w:val="Prrafodelista"/>
        <w:numPr>
          <w:ilvl w:val="0"/>
          <w:numId w:val="61"/>
        </w:numPr>
        <w:spacing w:line="276" w:lineRule="auto"/>
        <w:ind w:left="708"/>
        <w:rPr>
          <w:rFonts w:eastAsia="Times New Roman" w:cs="Arial"/>
          <w:szCs w:val="20"/>
          <w:lang w:eastAsia="es-MX"/>
        </w:rPr>
      </w:pPr>
      <w:r w:rsidRPr="00C25B29">
        <w:rPr>
          <w:rFonts w:eastAsia="Times New Roman" w:cs="Arial"/>
          <w:szCs w:val="20"/>
          <w:lang w:eastAsia="es-MX"/>
        </w:rPr>
        <w:t xml:space="preserve">Universidad Tecnológica de Culiacán / SEPyC. </w:t>
      </w:r>
      <w:r w:rsidRPr="00C25B29">
        <w:rPr>
          <w:rFonts w:eastAsia="Times New Roman" w:cs="Arial"/>
          <w:i/>
          <w:iCs/>
          <w:szCs w:val="20"/>
          <w:lang w:eastAsia="es-MX"/>
        </w:rPr>
        <w:t>Formatos 911 y anexos del ciclo 2024–2025.</w:t>
      </w:r>
    </w:p>
    <w:p w14:paraId="610EF26F" w14:textId="77777777" w:rsidR="001A0FE5" w:rsidRPr="00C25B29" w:rsidRDefault="001A0FE5" w:rsidP="00C25B29">
      <w:pPr>
        <w:pStyle w:val="Prrafodelista"/>
        <w:numPr>
          <w:ilvl w:val="0"/>
          <w:numId w:val="61"/>
        </w:numPr>
        <w:spacing w:line="276" w:lineRule="auto"/>
        <w:ind w:left="708"/>
        <w:rPr>
          <w:rFonts w:eastAsia="Times New Roman" w:cs="Arial"/>
          <w:szCs w:val="20"/>
          <w:lang w:eastAsia="es-MX"/>
        </w:rPr>
      </w:pPr>
      <w:r w:rsidRPr="00C25B29">
        <w:rPr>
          <w:rFonts w:eastAsia="Times New Roman" w:cs="Arial"/>
          <w:szCs w:val="20"/>
          <w:lang w:eastAsia="es-MX"/>
        </w:rPr>
        <w:t>“911 (INSTITUCION) 2024-2025.</w:t>
      </w:r>
    </w:p>
    <w:p w14:paraId="1577876F" w14:textId="77777777" w:rsidR="001A0FE5" w:rsidRPr="00C25B29" w:rsidRDefault="001A0FE5" w:rsidP="00C25B29">
      <w:pPr>
        <w:pStyle w:val="Prrafodelista"/>
        <w:numPr>
          <w:ilvl w:val="0"/>
          <w:numId w:val="61"/>
        </w:numPr>
        <w:spacing w:line="276" w:lineRule="auto"/>
        <w:ind w:left="708"/>
        <w:rPr>
          <w:rFonts w:eastAsia="Times New Roman" w:cs="Arial"/>
          <w:szCs w:val="20"/>
          <w:lang w:eastAsia="es-MX"/>
        </w:rPr>
      </w:pPr>
      <w:r w:rsidRPr="00C25B29">
        <w:rPr>
          <w:rFonts w:eastAsia="Times New Roman" w:cs="Arial"/>
          <w:szCs w:val="20"/>
          <w:lang w:eastAsia="es-MX"/>
        </w:rPr>
        <w:t>“ESCUELA 911 2024-2025.</w:t>
      </w:r>
    </w:p>
    <w:p w14:paraId="25937183" w14:textId="77777777" w:rsidR="001A0FE5" w:rsidRPr="00C25B29" w:rsidRDefault="001A0FE5" w:rsidP="00C25B29">
      <w:pPr>
        <w:pStyle w:val="Prrafodelista"/>
        <w:numPr>
          <w:ilvl w:val="0"/>
          <w:numId w:val="61"/>
        </w:numPr>
        <w:spacing w:line="276" w:lineRule="auto"/>
        <w:ind w:left="708"/>
        <w:rPr>
          <w:rFonts w:eastAsia="Times New Roman" w:cs="Arial"/>
          <w:szCs w:val="20"/>
          <w:lang w:eastAsia="es-MX"/>
        </w:rPr>
      </w:pPr>
      <w:r w:rsidRPr="00C25B29">
        <w:rPr>
          <w:rFonts w:eastAsia="Times New Roman" w:cs="Arial"/>
          <w:szCs w:val="20"/>
          <w:lang w:eastAsia="es-MX"/>
        </w:rPr>
        <w:t>“ANEXO DE TECNOLOGIAS (911) 2024-2025.”.</w:t>
      </w:r>
    </w:p>
    <w:p w14:paraId="24766D4F" w14:textId="77777777" w:rsidR="001A0FE5" w:rsidRPr="00C25B29" w:rsidRDefault="001A0FE5" w:rsidP="00C25B29">
      <w:pPr>
        <w:pStyle w:val="Prrafodelista"/>
        <w:numPr>
          <w:ilvl w:val="0"/>
          <w:numId w:val="61"/>
        </w:numPr>
        <w:spacing w:line="276" w:lineRule="auto"/>
        <w:ind w:left="708"/>
        <w:rPr>
          <w:rFonts w:eastAsia="Times New Roman" w:cs="Arial"/>
          <w:szCs w:val="20"/>
          <w:lang w:eastAsia="es-MX"/>
        </w:rPr>
      </w:pPr>
      <w:r w:rsidRPr="00C25B29">
        <w:rPr>
          <w:rFonts w:eastAsia="Times New Roman" w:cs="Arial"/>
          <w:szCs w:val="20"/>
          <w:lang w:eastAsia="es-MX"/>
        </w:rPr>
        <w:t>“ANEXO TECNOLOGÍAS DE LA INFORMACIÓN 2024-2025.pdf”.</w:t>
      </w:r>
      <w:r w:rsidR="00544A63" w:rsidRPr="00C25B29">
        <w:rPr>
          <w:rFonts w:eastAsia="Times New Roman" w:cs="Arial"/>
          <w:szCs w:val="20"/>
          <w:lang w:eastAsia="es-MX"/>
        </w:rPr>
        <w:t xml:space="preserve"> </w:t>
      </w:r>
      <w:r w:rsidRPr="00C25B29">
        <w:rPr>
          <w:rFonts w:eastAsia="Times New Roman" w:cs="Arial"/>
          <w:szCs w:val="20"/>
          <w:lang w:eastAsia="es-MX"/>
        </w:rPr>
        <w:t>Registros administrativos oficiales sobre matrícula, personal, infraestructura y recursos tecnológicos.</w:t>
      </w:r>
    </w:p>
    <w:p w14:paraId="6E4C2472" w14:textId="77777777" w:rsidR="00544A63" w:rsidRPr="00C25B29" w:rsidRDefault="00544A63" w:rsidP="00C25B29">
      <w:pPr>
        <w:pStyle w:val="Prrafodelista"/>
        <w:spacing w:line="276" w:lineRule="auto"/>
        <w:ind w:left="708"/>
        <w:rPr>
          <w:rFonts w:eastAsia="Times New Roman" w:cs="Arial"/>
          <w:szCs w:val="20"/>
          <w:lang w:eastAsia="es-MX"/>
        </w:rPr>
      </w:pPr>
    </w:p>
    <w:p w14:paraId="7A1F24D1" w14:textId="77777777" w:rsidR="001A0FE5" w:rsidRPr="00C25B29" w:rsidRDefault="001A0FE5" w:rsidP="00C25B29">
      <w:pPr>
        <w:pStyle w:val="Prrafodelista"/>
        <w:numPr>
          <w:ilvl w:val="0"/>
          <w:numId w:val="57"/>
        </w:numPr>
        <w:spacing w:line="276" w:lineRule="auto"/>
        <w:ind w:left="360"/>
        <w:rPr>
          <w:rFonts w:eastAsia="Times New Roman" w:cs="Arial"/>
          <w:szCs w:val="20"/>
          <w:lang w:eastAsia="es-MX"/>
        </w:rPr>
      </w:pPr>
      <w:r w:rsidRPr="00C25B29">
        <w:rPr>
          <w:rFonts w:eastAsia="Times New Roman" w:cs="Arial"/>
          <w:szCs w:val="20"/>
          <w:lang w:eastAsia="es-MX"/>
        </w:rPr>
        <w:t>Matriz de Indicadores para Resultados (MIR) del Pp</w:t>
      </w:r>
    </w:p>
    <w:p w14:paraId="17D46C6D" w14:textId="77777777" w:rsidR="00544A63" w:rsidRPr="00C25B29" w:rsidRDefault="00544A63" w:rsidP="00C25B29">
      <w:pPr>
        <w:pStyle w:val="Prrafodelista"/>
        <w:numPr>
          <w:ilvl w:val="0"/>
          <w:numId w:val="65"/>
        </w:numPr>
        <w:spacing w:line="276" w:lineRule="auto"/>
        <w:ind w:left="708"/>
        <w:rPr>
          <w:rStyle w:val="Textoennegrita"/>
          <w:rFonts w:eastAsia="Times New Roman" w:cs="Arial"/>
          <w:b w:val="0"/>
          <w:bCs w:val="0"/>
          <w:szCs w:val="20"/>
          <w:lang w:eastAsia="es-MX"/>
        </w:rPr>
      </w:pPr>
      <w:r w:rsidRPr="00C25B29">
        <w:rPr>
          <w:rStyle w:val="Textoennegrita"/>
          <w:rFonts w:cs="Arial"/>
          <w:b w:val="0"/>
          <w:bCs w:val="0"/>
        </w:rPr>
        <w:t xml:space="preserve">Universidad Tecnológica de Culiacán. (2024). </w:t>
      </w:r>
      <w:r w:rsidRPr="00C25B29">
        <w:rPr>
          <w:rStyle w:val="nfasis"/>
          <w:rFonts w:cs="Arial"/>
        </w:rPr>
        <w:t>Matriz de Indicadores para Resultados del Pp “Servicios de Educación Superior y Posgrado de Calidad” (E053), ejercicio 2024</w:t>
      </w:r>
      <w:r w:rsidRPr="00C25B29">
        <w:rPr>
          <w:rStyle w:val="Textoennegrita"/>
          <w:rFonts w:cs="Arial"/>
          <w:b w:val="0"/>
          <w:bCs w:val="0"/>
        </w:rPr>
        <w:t>.</w:t>
      </w:r>
    </w:p>
    <w:p w14:paraId="4B5046DF" w14:textId="77777777" w:rsidR="00544A63" w:rsidRPr="00C25B29" w:rsidRDefault="00544A63" w:rsidP="00C25B29">
      <w:pPr>
        <w:pStyle w:val="Prrafodelista"/>
        <w:spacing w:line="276" w:lineRule="auto"/>
        <w:ind w:left="708"/>
        <w:rPr>
          <w:rFonts w:eastAsia="Times New Roman" w:cs="Arial"/>
          <w:szCs w:val="20"/>
          <w:lang w:eastAsia="es-MX"/>
        </w:rPr>
      </w:pPr>
    </w:p>
    <w:p w14:paraId="61BBB878" w14:textId="77777777" w:rsidR="001A0FE5" w:rsidRPr="00C25B29" w:rsidRDefault="001A0FE5" w:rsidP="00C25B29">
      <w:pPr>
        <w:pStyle w:val="Prrafodelista"/>
        <w:numPr>
          <w:ilvl w:val="0"/>
          <w:numId w:val="57"/>
        </w:numPr>
        <w:spacing w:line="276" w:lineRule="auto"/>
        <w:ind w:left="360"/>
        <w:rPr>
          <w:rFonts w:eastAsia="Times New Roman" w:cs="Arial"/>
          <w:szCs w:val="20"/>
          <w:lang w:eastAsia="es-MX"/>
        </w:rPr>
      </w:pPr>
      <w:r w:rsidRPr="00C25B29">
        <w:rPr>
          <w:rFonts w:eastAsia="Times New Roman" w:cs="Arial"/>
          <w:szCs w:val="20"/>
          <w:lang w:eastAsia="es-MX"/>
        </w:rPr>
        <w:t>Sitio oficial de la Universidad Tecnológica de Culiacán</w:t>
      </w:r>
    </w:p>
    <w:p w14:paraId="79A0BD2A" w14:textId="77777777" w:rsidR="001A0FE5" w:rsidRPr="00C25B29" w:rsidRDefault="001A0FE5" w:rsidP="00C25B29">
      <w:pPr>
        <w:pStyle w:val="Prrafodelista"/>
        <w:numPr>
          <w:ilvl w:val="0"/>
          <w:numId w:val="64"/>
        </w:numPr>
        <w:spacing w:line="276" w:lineRule="auto"/>
        <w:ind w:left="708"/>
        <w:rPr>
          <w:rFonts w:eastAsia="Times New Roman" w:cs="Arial"/>
          <w:szCs w:val="20"/>
          <w:lang w:eastAsia="es-MX"/>
        </w:rPr>
      </w:pPr>
      <w:r w:rsidRPr="00C25B29">
        <w:rPr>
          <w:rFonts w:eastAsia="Times New Roman" w:cs="Arial"/>
          <w:szCs w:val="20"/>
          <w:lang w:eastAsia="es-MX"/>
        </w:rPr>
        <w:t>Universidad Tecnológica de Culiacán. Sitio oficial.</w:t>
      </w:r>
      <w:r w:rsidRPr="00C25B29">
        <w:rPr>
          <w:rFonts w:eastAsia="Times New Roman" w:cs="Arial"/>
          <w:szCs w:val="20"/>
          <w:lang w:eastAsia="es-MX"/>
        </w:rPr>
        <w:br/>
        <w:t>Portal institucional de la UTC, utilizado para validar información general, oferta educativa y procesos académicos:</w:t>
      </w:r>
    </w:p>
    <w:p w14:paraId="2685F1D7" w14:textId="77777777" w:rsidR="001A0FE5" w:rsidRPr="00C25B29" w:rsidRDefault="001A0FE5" w:rsidP="00C25B29">
      <w:pPr>
        <w:pStyle w:val="Prrafodelista"/>
        <w:numPr>
          <w:ilvl w:val="0"/>
          <w:numId w:val="64"/>
        </w:numPr>
        <w:spacing w:line="276" w:lineRule="auto"/>
        <w:ind w:left="708"/>
        <w:rPr>
          <w:rFonts w:eastAsia="Times New Roman" w:cs="Arial"/>
          <w:szCs w:val="20"/>
          <w:lang w:eastAsia="es-MX"/>
        </w:rPr>
      </w:pPr>
      <w:r w:rsidRPr="00C25B29">
        <w:rPr>
          <w:rFonts w:eastAsia="Times New Roman" w:cs="Arial"/>
          <w:szCs w:val="20"/>
          <w:lang w:eastAsia="es-MX"/>
        </w:rPr>
        <w:t xml:space="preserve">Pestaña “Inicio” (información general de la institución). </w:t>
      </w:r>
      <w:hyperlink r:id="rId16" w:tgtFrame="_blank" w:history="1">
        <w:r w:rsidRPr="00C25B29">
          <w:rPr>
            <w:rFonts w:eastAsia="Times New Roman" w:cs="Arial"/>
            <w:color w:val="0000FF"/>
            <w:szCs w:val="20"/>
            <w:u w:val="single"/>
            <w:lang w:eastAsia="es-MX"/>
          </w:rPr>
          <w:t>utculiacan.edu.mx</w:t>
        </w:r>
      </w:hyperlink>
    </w:p>
    <w:p w14:paraId="7B9B8910" w14:textId="77777777" w:rsidR="001A0FE5" w:rsidRPr="00C25B29" w:rsidRDefault="001A0FE5" w:rsidP="00C25B29">
      <w:pPr>
        <w:pStyle w:val="Prrafodelista"/>
        <w:numPr>
          <w:ilvl w:val="0"/>
          <w:numId w:val="64"/>
        </w:numPr>
        <w:spacing w:line="276" w:lineRule="auto"/>
        <w:ind w:left="708"/>
        <w:rPr>
          <w:rFonts w:eastAsia="Times New Roman" w:cs="Arial"/>
          <w:szCs w:val="20"/>
          <w:lang w:eastAsia="es-MX"/>
        </w:rPr>
      </w:pPr>
      <w:r w:rsidRPr="00C25B29">
        <w:rPr>
          <w:rFonts w:eastAsia="Times New Roman" w:cs="Arial"/>
          <w:szCs w:val="20"/>
          <w:lang w:eastAsia="es-MX"/>
        </w:rPr>
        <w:t xml:space="preserve">Pestaña “Desarrollo y evaluación institucional”, donde se consultan el Programa Institucional de Desarrollo y el Programa Operativo Anual. </w:t>
      </w:r>
      <w:hyperlink r:id="rId17" w:tgtFrame="_blank" w:history="1">
        <w:r w:rsidRPr="00C25B29">
          <w:rPr>
            <w:rFonts w:eastAsia="Times New Roman" w:cs="Arial"/>
            <w:color w:val="0000FF"/>
            <w:szCs w:val="20"/>
            <w:u w:val="single"/>
            <w:lang w:eastAsia="es-MX"/>
          </w:rPr>
          <w:t>utculiacan.edu.mx</w:t>
        </w:r>
      </w:hyperlink>
    </w:p>
    <w:p w14:paraId="18E6215A" w14:textId="77777777" w:rsidR="001A0FE5" w:rsidRPr="00C25B29" w:rsidRDefault="001A0FE5" w:rsidP="00C25B29">
      <w:pPr>
        <w:pStyle w:val="Prrafodelista"/>
        <w:numPr>
          <w:ilvl w:val="0"/>
          <w:numId w:val="64"/>
        </w:numPr>
        <w:spacing w:line="276" w:lineRule="auto"/>
        <w:ind w:left="708"/>
        <w:rPr>
          <w:rFonts w:eastAsia="Times New Roman" w:cs="Arial"/>
          <w:szCs w:val="20"/>
          <w:lang w:eastAsia="es-MX"/>
        </w:rPr>
      </w:pPr>
      <w:r w:rsidRPr="00C25B29">
        <w:rPr>
          <w:rFonts w:eastAsia="Times New Roman" w:cs="Arial"/>
          <w:szCs w:val="20"/>
          <w:lang w:eastAsia="es-MX"/>
        </w:rPr>
        <w:t xml:space="preserve">Pestaña “Admisión”, sobre requisitos y proceso de ingreso. </w:t>
      </w:r>
      <w:hyperlink r:id="rId18" w:tgtFrame="_blank" w:history="1">
        <w:r w:rsidRPr="00C25B29">
          <w:rPr>
            <w:rFonts w:eastAsia="Times New Roman" w:cs="Arial"/>
            <w:color w:val="0000FF"/>
            <w:szCs w:val="20"/>
            <w:u w:val="single"/>
            <w:lang w:eastAsia="es-MX"/>
          </w:rPr>
          <w:t>utculiacan.edu.mx</w:t>
        </w:r>
      </w:hyperlink>
    </w:p>
    <w:p w14:paraId="4F9A3AF5" w14:textId="77777777" w:rsidR="001A0FE5" w:rsidRPr="00C25B29" w:rsidRDefault="001A0FE5" w:rsidP="00C25B29">
      <w:pPr>
        <w:pStyle w:val="Prrafodelista"/>
        <w:numPr>
          <w:ilvl w:val="0"/>
          <w:numId w:val="64"/>
        </w:numPr>
        <w:spacing w:line="276" w:lineRule="auto"/>
        <w:ind w:left="708"/>
        <w:rPr>
          <w:rFonts w:eastAsia="Times New Roman" w:cs="Arial"/>
          <w:szCs w:val="20"/>
          <w:lang w:eastAsia="es-MX"/>
        </w:rPr>
      </w:pPr>
      <w:r w:rsidRPr="00C25B29">
        <w:rPr>
          <w:rFonts w:eastAsia="Times New Roman" w:cs="Arial"/>
          <w:szCs w:val="20"/>
          <w:lang w:eastAsia="es-MX"/>
        </w:rPr>
        <w:t xml:space="preserve">Pestaña “Inscripción”, relativa al proceso de inscripción y asignación de matrícula. </w:t>
      </w:r>
      <w:hyperlink r:id="rId19" w:tgtFrame="_blank" w:history="1">
        <w:r w:rsidRPr="00C25B29">
          <w:rPr>
            <w:rFonts w:eastAsia="Times New Roman" w:cs="Arial"/>
            <w:color w:val="0000FF"/>
            <w:szCs w:val="20"/>
            <w:u w:val="single"/>
            <w:lang w:eastAsia="es-MX"/>
          </w:rPr>
          <w:t>utculiacan.edu.mx</w:t>
        </w:r>
      </w:hyperlink>
    </w:p>
    <w:p w14:paraId="6AD4AADC" w14:textId="77777777" w:rsidR="001A0FE5" w:rsidRPr="00C25B29" w:rsidRDefault="001A0FE5" w:rsidP="00C25B29">
      <w:pPr>
        <w:pStyle w:val="Prrafodelista"/>
        <w:numPr>
          <w:ilvl w:val="0"/>
          <w:numId w:val="64"/>
        </w:numPr>
        <w:spacing w:line="276" w:lineRule="auto"/>
        <w:ind w:left="708"/>
        <w:rPr>
          <w:rFonts w:eastAsia="Times New Roman" w:cs="Arial"/>
          <w:szCs w:val="20"/>
          <w:lang w:eastAsia="es-MX"/>
        </w:rPr>
      </w:pPr>
      <w:r w:rsidRPr="00C25B29">
        <w:rPr>
          <w:rFonts w:eastAsia="Times New Roman" w:cs="Arial"/>
          <w:szCs w:val="20"/>
          <w:lang w:eastAsia="es-MX"/>
        </w:rPr>
        <w:t xml:space="preserve">Dirección electrónica general: </w:t>
      </w:r>
      <w:hyperlink r:id="rId20" w:history="1">
        <w:r w:rsidR="00544A63" w:rsidRPr="00C25B29">
          <w:rPr>
            <w:rStyle w:val="Hipervnculo"/>
            <w:rFonts w:eastAsia="Times New Roman" w:cs="Arial"/>
            <w:szCs w:val="20"/>
            <w:lang w:eastAsia="es-MX"/>
          </w:rPr>
          <w:t>https://utculiacan.edu.mx</w:t>
        </w:r>
      </w:hyperlink>
      <w:r w:rsidR="00544A63" w:rsidRPr="00C25B29">
        <w:rPr>
          <w:rFonts w:eastAsia="Times New Roman" w:cs="Arial"/>
          <w:szCs w:val="20"/>
          <w:lang w:eastAsia="es-MX"/>
        </w:rPr>
        <w:t>.</w:t>
      </w:r>
    </w:p>
    <w:p w14:paraId="7BAB9C4D" w14:textId="77777777" w:rsidR="00544A63" w:rsidRPr="00C25B29" w:rsidRDefault="00544A63" w:rsidP="00C25B29">
      <w:pPr>
        <w:pStyle w:val="Prrafodelista"/>
        <w:spacing w:line="276" w:lineRule="auto"/>
        <w:ind w:left="708"/>
        <w:rPr>
          <w:rFonts w:eastAsia="Times New Roman" w:cs="Arial"/>
          <w:szCs w:val="20"/>
          <w:lang w:eastAsia="es-MX"/>
        </w:rPr>
      </w:pPr>
    </w:p>
    <w:p w14:paraId="583A82EB" w14:textId="77777777" w:rsidR="00C25B29" w:rsidRDefault="00C25B29">
      <w:pPr>
        <w:spacing w:line="276" w:lineRule="auto"/>
        <w:jc w:val="left"/>
        <w:rPr>
          <w:rFonts w:eastAsia="Times New Roman" w:cs="Arial"/>
          <w:szCs w:val="20"/>
          <w:lang w:eastAsia="es-MX"/>
        </w:rPr>
      </w:pPr>
      <w:r>
        <w:rPr>
          <w:rFonts w:eastAsia="Times New Roman" w:cs="Arial"/>
          <w:szCs w:val="20"/>
          <w:lang w:eastAsia="es-MX"/>
        </w:rPr>
        <w:br w:type="page"/>
      </w:r>
    </w:p>
    <w:p w14:paraId="019822D9" w14:textId="310998DF" w:rsidR="001A0FE5" w:rsidRPr="00C25B29" w:rsidRDefault="001A0FE5" w:rsidP="00C25B29">
      <w:pPr>
        <w:pStyle w:val="Prrafodelista"/>
        <w:numPr>
          <w:ilvl w:val="0"/>
          <w:numId w:val="57"/>
        </w:numPr>
        <w:spacing w:line="276" w:lineRule="auto"/>
        <w:ind w:left="360"/>
        <w:rPr>
          <w:rFonts w:eastAsia="Times New Roman" w:cs="Arial"/>
          <w:szCs w:val="20"/>
          <w:lang w:eastAsia="es-MX"/>
        </w:rPr>
      </w:pPr>
      <w:r w:rsidRPr="00C25B29">
        <w:rPr>
          <w:rFonts w:eastAsia="Times New Roman" w:cs="Arial"/>
          <w:szCs w:val="20"/>
          <w:lang w:eastAsia="es-MX"/>
        </w:rPr>
        <w:lastRenderedPageBreak/>
        <w:t>Planeación y normatividad estatal</w:t>
      </w:r>
    </w:p>
    <w:p w14:paraId="447D8F76" w14:textId="77777777" w:rsidR="001A0FE5" w:rsidRPr="00C25B29" w:rsidRDefault="001A0FE5" w:rsidP="00C25B29">
      <w:pPr>
        <w:pStyle w:val="Prrafodelista"/>
        <w:numPr>
          <w:ilvl w:val="0"/>
          <w:numId w:val="62"/>
        </w:numPr>
        <w:spacing w:line="276" w:lineRule="auto"/>
        <w:ind w:left="708"/>
        <w:rPr>
          <w:rFonts w:eastAsia="Times New Roman" w:cs="Arial"/>
          <w:i/>
          <w:iCs/>
          <w:szCs w:val="20"/>
          <w:lang w:eastAsia="es-MX"/>
        </w:rPr>
      </w:pPr>
      <w:r w:rsidRPr="00C25B29">
        <w:rPr>
          <w:rFonts w:eastAsia="Times New Roman" w:cs="Arial"/>
          <w:szCs w:val="20"/>
          <w:lang w:eastAsia="es-MX"/>
        </w:rPr>
        <w:t xml:space="preserve">Gobierno del Estado de Sinaloa. </w:t>
      </w:r>
      <w:r w:rsidRPr="00C25B29">
        <w:rPr>
          <w:rFonts w:eastAsia="Times New Roman" w:cs="Arial"/>
          <w:i/>
          <w:iCs/>
          <w:szCs w:val="20"/>
          <w:lang w:eastAsia="es-MX"/>
        </w:rPr>
        <w:t>Plan Estatal de Desarrollo 2022–2027.</w:t>
      </w:r>
      <w:r w:rsidRPr="00C25B29">
        <w:rPr>
          <w:rFonts w:eastAsia="Times New Roman" w:cs="Arial"/>
          <w:szCs w:val="20"/>
          <w:lang w:eastAsia="es-MX"/>
        </w:rPr>
        <w:br/>
        <w:t xml:space="preserve">Secretaría de Educación Pública y Cultura (SEPyC) del Estado de Sinaloa. </w:t>
      </w:r>
      <w:r w:rsidRPr="00C25B29">
        <w:rPr>
          <w:rFonts w:eastAsia="Times New Roman" w:cs="Arial"/>
          <w:i/>
          <w:iCs/>
          <w:szCs w:val="20"/>
          <w:lang w:eastAsia="es-MX"/>
        </w:rPr>
        <w:t>Programa Sectorial de Educación 2022–2027.</w:t>
      </w:r>
    </w:p>
    <w:p w14:paraId="1FF5774A" w14:textId="77777777" w:rsidR="00544A63" w:rsidRPr="00C25B29" w:rsidRDefault="001A0FE5" w:rsidP="00C25B29">
      <w:pPr>
        <w:pStyle w:val="Prrafodelista"/>
        <w:numPr>
          <w:ilvl w:val="0"/>
          <w:numId w:val="62"/>
        </w:numPr>
        <w:spacing w:line="276" w:lineRule="auto"/>
        <w:ind w:left="708"/>
        <w:rPr>
          <w:rFonts w:eastAsia="Times New Roman" w:cs="Arial"/>
          <w:i/>
          <w:iCs/>
          <w:szCs w:val="20"/>
          <w:lang w:eastAsia="es-MX"/>
        </w:rPr>
      </w:pPr>
      <w:r w:rsidRPr="00C25B29">
        <w:rPr>
          <w:rFonts w:eastAsia="Times New Roman" w:cs="Arial"/>
          <w:szCs w:val="20"/>
          <w:lang w:eastAsia="es-MX"/>
        </w:rPr>
        <w:t xml:space="preserve">Congreso del Estado de Sinaloa. </w:t>
      </w:r>
      <w:r w:rsidRPr="00C25B29">
        <w:rPr>
          <w:rFonts w:eastAsia="Times New Roman" w:cs="Arial"/>
          <w:i/>
          <w:iCs/>
          <w:szCs w:val="20"/>
          <w:lang w:eastAsia="es-MX"/>
        </w:rPr>
        <w:t>Ley de Ingresos y Presupuesto de Egresos del Estado de Sinaloa para el ejercicio fiscal 2024 (LIPE 2024).</w:t>
      </w:r>
    </w:p>
    <w:p w14:paraId="26EE1386" w14:textId="77777777" w:rsidR="00544A63" w:rsidRPr="00C25B29" w:rsidRDefault="00544A63" w:rsidP="00C25B29">
      <w:pPr>
        <w:pStyle w:val="Prrafodelista"/>
        <w:spacing w:line="276" w:lineRule="auto"/>
        <w:ind w:left="708"/>
        <w:rPr>
          <w:rFonts w:eastAsia="Times New Roman" w:cs="Arial"/>
          <w:i/>
          <w:iCs/>
          <w:szCs w:val="20"/>
          <w:lang w:eastAsia="es-MX"/>
        </w:rPr>
      </w:pPr>
    </w:p>
    <w:p w14:paraId="166FB3A7" w14:textId="77777777" w:rsidR="001A0FE5" w:rsidRPr="00C25B29" w:rsidRDefault="001A0FE5" w:rsidP="00C25B29">
      <w:pPr>
        <w:pStyle w:val="Prrafodelista"/>
        <w:numPr>
          <w:ilvl w:val="0"/>
          <w:numId w:val="57"/>
        </w:numPr>
        <w:spacing w:line="276" w:lineRule="auto"/>
        <w:ind w:left="360"/>
        <w:rPr>
          <w:rFonts w:eastAsia="Times New Roman" w:cs="Arial"/>
          <w:szCs w:val="20"/>
          <w:lang w:eastAsia="es-MX"/>
        </w:rPr>
      </w:pPr>
      <w:r w:rsidRPr="00C25B29">
        <w:rPr>
          <w:rFonts w:eastAsia="Times New Roman" w:cs="Arial"/>
          <w:szCs w:val="20"/>
          <w:lang w:eastAsia="es-MX"/>
        </w:rPr>
        <w:t>Información educativa y de población atendida</w:t>
      </w:r>
    </w:p>
    <w:p w14:paraId="564BDB71" w14:textId="37DB61BA" w:rsidR="00544A63" w:rsidRPr="00C25B29" w:rsidRDefault="001A0FE5" w:rsidP="00C25B29">
      <w:pPr>
        <w:pStyle w:val="Prrafodelista"/>
        <w:numPr>
          <w:ilvl w:val="0"/>
          <w:numId w:val="63"/>
        </w:numPr>
        <w:spacing w:line="276" w:lineRule="auto"/>
        <w:ind w:left="708"/>
        <w:rPr>
          <w:rFonts w:eastAsia="Times New Roman" w:cs="Arial"/>
          <w:szCs w:val="20"/>
          <w:lang w:eastAsia="es-MX"/>
        </w:rPr>
      </w:pPr>
      <w:r w:rsidRPr="00C25B29">
        <w:rPr>
          <w:rFonts w:eastAsia="Times New Roman" w:cs="Arial"/>
          <w:szCs w:val="20"/>
          <w:lang w:eastAsia="es-MX"/>
        </w:rPr>
        <w:t xml:space="preserve">Secretaría de Educación Pública (SEP). </w:t>
      </w:r>
      <w:r w:rsidRPr="00C25B29">
        <w:rPr>
          <w:rFonts w:eastAsia="Times New Roman" w:cs="Arial"/>
          <w:i/>
          <w:iCs/>
          <w:szCs w:val="20"/>
          <w:lang w:eastAsia="es-MX"/>
        </w:rPr>
        <w:t xml:space="preserve">Informes trimestrales de ejecución de recursos federales (artículo 37 del Presupuesto de Egresos de la Federación), </w:t>
      </w:r>
      <w:r w:rsidR="00C25B29" w:rsidRPr="00C25B29">
        <w:rPr>
          <w:rFonts w:eastAsia="Times New Roman" w:cs="Arial"/>
          <w:i/>
          <w:iCs/>
          <w:szCs w:val="20"/>
          <w:lang w:eastAsia="es-MX"/>
        </w:rPr>
        <w:t>trimestrales</w:t>
      </w:r>
      <w:r w:rsidRPr="00C25B29">
        <w:rPr>
          <w:rFonts w:eastAsia="Times New Roman" w:cs="Arial"/>
          <w:i/>
          <w:iCs/>
          <w:szCs w:val="20"/>
          <w:lang w:eastAsia="es-MX"/>
        </w:rPr>
        <w:t xml:space="preserve"> 2023.</w:t>
      </w:r>
    </w:p>
    <w:p w14:paraId="372E6CB9" w14:textId="77777777" w:rsidR="00670D50" w:rsidRPr="00C25B29" w:rsidRDefault="001A0FE5" w:rsidP="00C25B29">
      <w:pPr>
        <w:pStyle w:val="Prrafodelista"/>
        <w:numPr>
          <w:ilvl w:val="0"/>
          <w:numId w:val="63"/>
        </w:numPr>
        <w:spacing w:line="276" w:lineRule="auto"/>
        <w:ind w:left="708"/>
        <w:rPr>
          <w:rFonts w:eastAsia="Times New Roman" w:cs="Arial"/>
          <w:szCs w:val="20"/>
          <w:lang w:eastAsia="es-MX"/>
        </w:rPr>
      </w:pPr>
      <w:r w:rsidRPr="00C25B29">
        <w:rPr>
          <w:rFonts w:eastAsia="Times New Roman" w:cs="Arial"/>
          <w:szCs w:val="20"/>
          <w:lang w:eastAsia="es-MX"/>
        </w:rPr>
        <w:t xml:space="preserve">Secretaría de Educación Pública (SEP). </w:t>
      </w:r>
      <w:r w:rsidRPr="00C25B29">
        <w:rPr>
          <w:rFonts w:eastAsia="Times New Roman" w:cs="Arial"/>
          <w:i/>
          <w:iCs/>
          <w:szCs w:val="20"/>
          <w:lang w:eastAsia="es-MX"/>
        </w:rPr>
        <w:t>Principales Cifras del Sistema Educativo Nacional 2022–2023. Educación Media Superior.</w:t>
      </w:r>
    </w:p>
    <w:p w14:paraId="0BE890BD" w14:textId="2B129555" w:rsidR="00C25B29" w:rsidRDefault="00C25B29">
      <w:pPr>
        <w:spacing w:line="276" w:lineRule="auto"/>
        <w:jc w:val="left"/>
        <w:rPr>
          <w:rFonts w:eastAsia="Times New Roman" w:cs="Arial"/>
          <w:szCs w:val="20"/>
          <w:lang w:eastAsia="es-MX"/>
        </w:rPr>
      </w:pPr>
      <w:r>
        <w:rPr>
          <w:rFonts w:eastAsia="Times New Roman" w:cs="Arial"/>
          <w:szCs w:val="20"/>
          <w:lang w:eastAsia="es-MX"/>
        </w:rPr>
        <w:br w:type="page"/>
      </w:r>
    </w:p>
    <w:bookmarkEnd w:id="22"/>
    <w:bookmarkEnd w:id="23"/>
    <w:bookmarkEnd w:id="24"/>
    <w:bookmarkEnd w:id="25"/>
    <w:bookmarkEnd w:id="26"/>
    <w:p w14:paraId="0B0DB38D" w14:textId="77777777" w:rsidR="00996075" w:rsidRPr="00074E91" w:rsidRDefault="00996075" w:rsidP="00996075">
      <w:pPr>
        <w:rPr>
          <w:rFonts w:cs="Arial"/>
          <w:lang w:val="es-ES"/>
        </w:rPr>
      </w:pPr>
      <w:r w:rsidRPr="00074E91">
        <w:rPr>
          <w:rFonts w:cs="Arial"/>
          <w:noProof/>
          <w:lang w:eastAsia="es-MX"/>
        </w:rPr>
        <w:lastRenderedPageBreak/>
        <mc:AlternateContent>
          <mc:Choice Requires="wps">
            <w:drawing>
              <wp:inline distT="0" distB="0" distL="0" distR="0" wp14:anchorId="63001476" wp14:editId="151DE62F">
                <wp:extent cx="5610225" cy="360000"/>
                <wp:effectExtent l="0" t="0" r="9525" b="2540"/>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60000"/>
                        </a:xfrm>
                        <a:prstGeom prst="rect">
                          <a:avLst/>
                        </a:prstGeom>
                        <a:gradFill flip="none" rotWithShape="1">
                          <a:gsLst>
                            <a:gs pos="19000">
                              <a:schemeClr val="bg1"/>
                            </a:gs>
                            <a:gs pos="55000">
                              <a:schemeClr val="bg1">
                                <a:lumMod val="85000"/>
                              </a:schemeClr>
                            </a:gs>
                            <a:gs pos="79000">
                              <a:schemeClr val="bg1">
                                <a:lumMod val="65000"/>
                              </a:schemeClr>
                            </a:gs>
                            <a:gs pos="94000">
                              <a:schemeClr val="bg1">
                                <a:lumMod val="50000"/>
                              </a:schemeClr>
                            </a:gs>
                          </a:gsLst>
                          <a:lin ang="0" scaled="1"/>
                          <a:tileRect/>
                        </a:gradFill>
                        <a:ln w="9525">
                          <a:noFill/>
                          <a:miter lim="800000"/>
                          <a:headEnd/>
                          <a:tailEnd/>
                        </a:ln>
                      </wps:spPr>
                      <wps:txbx>
                        <w:txbxContent>
                          <w:p w14:paraId="38D9ED2C" w14:textId="77777777" w:rsidR="00F43EAE" w:rsidRPr="008E0C59" w:rsidRDefault="00F43EAE" w:rsidP="00190ACD">
                            <w:pPr>
                              <w:pStyle w:val="Ttulo1"/>
                              <w:numPr>
                                <w:ilvl w:val="0"/>
                                <w:numId w:val="11"/>
                              </w:numPr>
                              <w:jc w:val="left"/>
                              <w:rPr>
                                <w:rFonts w:cs="Times New Roman"/>
                                <w:szCs w:val="22"/>
                              </w:rPr>
                            </w:pPr>
                            <w:bookmarkStart w:id="62" w:name="_Toc227668611"/>
                            <w:r>
                              <w:rPr>
                                <w:rFonts w:cs="Times New Roman"/>
                                <w:szCs w:val="22"/>
                              </w:rPr>
                              <w:t>Formatos de Anexos</w:t>
                            </w:r>
                            <w:bookmarkEnd w:id="62"/>
                          </w:p>
                        </w:txbxContent>
                      </wps:txbx>
                      <wps:bodyPr rot="0" vert="horz" wrap="square" lIns="91440" tIns="45720" rIns="91440" bIns="45720" anchor="ctr" anchorCtr="0">
                        <a:noAutofit/>
                      </wps:bodyPr>
                    </wps:wsp>
                  </a:graphicData>
                </a:graphic>
              </wp:inline>
            </w:drawing>
          </mc:Choice>
          <mc:Fallback>
            <w:pict>
              <v:shape w14:anchorId="63001476" id="_x0000_s1032" type="#_x0000_t202" style="width:441.7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" fillcolor="white [3212]" stroked="f">
                <v:fill color2="#7f7f7f [1612]" rotate="t" angle="90" colors="0 white;12452f white;36045f #d9d9d9;51773f #a6a6a6" focus="100%" type="gradient"/>
                <v:textbox>
                  <w:txbxContent>
                    <w:p w14:paraId="38D9ED2C" w14:textId="77777777" w:rsidR="00F43EAE" w:rsidRPr="008E0C59" w:rsidRDefault="00F43EAE" w:rsidP="00190ACD">
                      <w:pPr>
                        <w:pStyle w:val="Ttulo1"/>
                        <w:numPr>
                          <w:ilvl w:val="0"/>
                          <w:numId w:val="11"/>
                        </w:numPr>
                        <w:jc w:val="left"/>
                        <w:rPr>
                          <w:rFonts w:cs="Times New Roman"/>
                          <w:szCs w:val="22"/>
                        </w:rPr>
                      </w:pPr>
                      <w:bookmarkStart w:id="63" w:name="_Toc227668611"/>
                      <w:r>
                        <w:rPr>
                          <w:rFonts w:cs="Times New Roman"/>
                          <w:szCs w:val="22"/>
                        </w:rPr>
                        <w:t>Formatos de Anexos</w:t>
                      </w:r>
                      <w:bookmarkEnd w:id="63"/>
                    </w:p>
                  </w:txbxContent>
                </v:textbox>
                <w10:anchorlock/>
              </v:shape>
            </w:pict>
          </mc:Fallback>
        </mc:AlternateContent>
      </w:r>
    </w:p>
    <w:tbl>
      <w:tblPr>
        <w:tblStyle w:val="Tablaconcuadrcula"/>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1"/>
        <w:gridCol w:w="7022"/>
        <w:gridCol w:w="1461"/>
      </w:tblGrid>
      <w:tr w:rsidR="008764C3" w:rsidRPr="00074E91" w14:paraId="38BF8873" w14:textId="77777777" w:rsidTr="006A35CD">
        <w:trPr>
          <w:trHeight w:val="474"/>
        </w:trPr>
        <w:tc>
          <w:tcPr>
            <w:tcW w:w="315" w:type="pct"/>
            <w:shd w:val="clear" w:color="auto" w:fill="404040" w:themeFill="text1" w:themeFillTint="BF"/>
            <w:vAlign w:val="center"/>
            <w:hideMark/>
          </w:tcPr>
          <w:p w14:paraId="548A2B6C" w14:textId="77777777" w:rsidR="008764C3" w:rsidRPr="00074E91" w:rsidRDefault="008764C3" w:rsidP="006A35CD">
            <w:pPr>
              <w:spacing w:line="240" w:lineRule="auto"/>
              <w:jc w:val="center"/>
              <w:rPr>
                <w:rFonts w:cs="Arial"/>
                <w:b/>
                <w:color w:val="FFFFFF" w:themeColor="background1"/>
              </w:rPr>
            </w:pPr>
            <w:r w:rsidRPr="00074E91">
              <w:rPr>
                <w:rFonts w:cs="Arial"/>
                <w:b/>
                <w:color w:val="FFFFFF" w:themeColor="background1"/>
              </w:rPr>
              <w:t>No.</w:t>
            </w:r>
          </w:p>
        </w:tc>
        <w:tc>
          <w:tcPr>
            <w:tcW w:w="3878" w:type="pct"/>
            <w:shd w:val="clear" w:color="auto" w:fill="404040" w:themeFill="text1" w:themeFillTint="BF"/>
            <w:vAlign w:val="center"/>
            <w:hideMark/>
          </w:tcPr>
          <w:p w14:paraId="53B0AC6B" w14:textId="77777777" w:rsidR="008764C3" w:rsidRPr="00074E91" w:rsidRDefault="008764C3" w:rsidP="006A35CD">
            <w:pPr>
              <w:spacing w:line="240" w:lineRule="auto"/>
              <w:jc w:val="center"/>
              <w:rPr>
                <w:rFonts w:cs="Arial"/>
                <w:b/>
                <w:color w:val="FFFFFF" w:themeColor="background1"/>
              </w:rPr>
            </w:pPr>
            <w:r w:rsidRPr="00074E91">
              <w:rPr>
                <w:rFonts w:cs="Arial"/>
                <w:b/>
                <w:color w:val="FFFFFF" w:themeColor="background1"/>
              </w:rPr>
              <w:t>Anexo</w:t>
            </w:r>
          </w:p>
        </w:tc>
        <w:tc>
          <w:tcPr>
            <w:tcW w:w="807" w:type="pct"/>
            <w:shd w:val="clear" w:color="auto" w:fill="404040" w:themeFill="text1" w:themeFillTint="BF"/>
            <w:vAlign w:val="center"/>
            <w:hideMark/>
          </w:tcPr>
          <w:p w14:paraId="3BD36B13" w14:textId="77777777" w:rsidR="008764C3" w:rsidRPr="00074E91" w:rsidRDefault="008764C3" w:rsidP="006A35CD">
            <w:pPr>
              <w:spacing w:line="240" w:lineRule="auto"/>
              <w:jc w:val="center"/>
              <w:rPr>
                <w:rFonts w:cs="Arial"/>
                <w:b/>
                <w:color w:val="FFFFFF" w:themeColor="background1"/>
              </w:rPr>
            </w:pPr>
            <w:r w:rsidRPr="00074E91">
              <w:rPr>
                <w:rFonts w:cs="Arial"/>
                <w:b/>
                <w:color w:val="FFFFFF" w:themeColor="background1"/>
              </w:rPr>
              <w:t>Formato</w:t>
            </w:r>
          </w:p>
        </w:tc>
      </w:tr>
      <w:tr w:rsidR="008764C3" w:rsidRPr="00074E91" w14:paraId="39356B0F" w14:textId="77777777" w:rsidTr="00186F3F">
        <w:trPr>
          <w:trHeight w:val="705"/>
        </w:trPr>
        <w:tc>
          <w:tcPr>
            <w:tcW w:w="315" w:type="pct"/>
            <w:vAlign w:val="center"/>
            <w:hideMark/>
          </w:tcPr>
          <w:p w14:paraId="26E287BC" w14:textId="77777777" w:rsidR="008764C3" w:rsidRPr="00074E91" w:rsidRDefault="008764C3" w:rsidP="006A35CD">
            <w:pPr>
              <w:spacing w:line="240" w:lineRule="auto"/>
              <w:jc w:val="center"/>
              <w:rPr>
                <w:rFonts w:cs="Arial"/>
                <w:szCs w:val="18"/>
              </w:rPr>
            </w:pPr>
            <w:r w:rsidRPr="00074E91">
              <w:rPr>
                <w:rFonts w:cs="Arial"/>
                <w:szCs w:val="18"/>
              </w:rPr>
              <w:t>1</w:t>
            </w:r>
          </w:p>
        </w:tc>
        <w:tc>
          <w:tcPr>
            <w:tcW w:w="3878" w:type="pct"/>
            <w:vAlign w:val="center"/>
            <w:hideMark/>
          </w:tcPr>
          <w:p w14:paraId="5B7DF69C" w14:textId="77777777" w:rsidR="008764C3" w:rsidRPr="00074E91" w:rsidRDefault="008764C3" w:rsidP="006A35CD">
            <w:pPr>
              <w:spacing w:line="240" w:lineRule="auto"/>
              <w:jc w:val="left"/>
              <w:rPr>
                <w:rFonts w:cs="Arial"/>
                <w:szCs w:val="18"/>
              </w:rPr>
            </w:pPr>
            <w:r w:rsidRPr="00074E91">
              <w:rPr>
                <w:rFonts w:cs="Arial"/>
              </w:rPr>
              <w:t>Población Objetivo o área de enfoque (Municipios del estado o en el medio ambiente).</w:t>
            </w:r>
          </w:p>
        </w:tc>
        <w:tc>
          <w:tcPr>
            <w:tcW w:w="807" w:type="pct"/>
            <w:vAlign w:val="center"/>
            <w:hideMark/>
          </w:tcPr>
          <w:p w14:paraId="0A6AAB2C" w14:textId="6370B787" w:rsidR="008764C3" w:rsidRPr="00074E91" w:rsidRDefault="00B54A77" w:rsidP="00B54A77">
            <w:pPr>
              <w:spacing w:line="240" w:lineRule="auto"/>
              <w:jc w:val="center"/>
              <w:rPr>
                <w:rFonts w:cs="Arial"/>
                <w:szCs w:val="18"/>
              </w:rPr>
            </w:pPr>
            <w:r w:rsidRPr="00074E91">
              <w:rPr>
                <w:rFonts w:cs="Arial"/>
                <w:szCs w:val="18"/>
              </w:rPr>
              <w:t>CI</w:t>
            </w:r>
          </w:p>
        </w:tc>
      </w:tr>
      <w:tr w:rsidR="00B54A77" w:rsidRPr="00074E91" w14:paraId="218C6DFD" w14:textId="77777777" w:rsidTr="00186F3F">
        <w:trPr>
          <w:trHeight w:val="459"/>
        </w:trPr>
        <w:tc>
          <w:tcPr>
            <w:tcW w:w="315" w:type="pct"/>
            <w:vAlign w:val="center"/>
            <w:hideMark/>
          </w:tcPr>
          <w:p w14:paraId="51590181" w14:textId="77777777" w:rsidR="00B54A77" w:rsidRPr="00074E91" w:rsidRDefault="00B54A77" w:rsidP="00B54A77">
            <w:pPr>
              <w:spacing w:line="240" w:lineRule="auto"/>
              <w:jc w:val="center"/>
              <w:rPr>
                <w:rFonts w:cs="Arial"/>
                <w:szCs w:val="18"/>
              </w:rPr>
            </w:pPr>
            <w:r w:rsidRPr="00074E91">
              <w:rPr>
                <w:rFonts w:cs="Arial"/>
                <w:szCs w:val="18"/>
              </w:rPr>
              <w:t>2</w:t>
            </w:r>
          </w:p>
        </w:tc>
        <w:tc>
          <w:tcPr>
            <w:tcW w:w="3878" w:type="pct"/>
            <w:vAlign w:val="center"/>
            <w:hideMark/>
          </w:tcPr>
          <w:p w14:paraId="5E9B90A5" w14:textId="77777777" w:rsidR="00B54A77" w:rsidRPr="00074E91" w:rsidRDefault="00B54A77" w:rsidP="00B54A77">
            <w:pPr>
              <w:spacing w:line="240" w:lineRule="auto"/>
              <w:jc w:val="left"/>
              <w:rPr>
                <w:rFonts w:cs="Arial"/>
                <w:szCs w:val="18"/>
              </w:rPr>
            </w:pPr>
            <w:r w:rsidRPr="00074E91">
              <w:rPr>
                <w:rFonts w:cs="Arial"/>
                <w:szCs w:val="18"/>
              </w:rPr>
              <w:t>Árbol del Problema</w:t>
            </w:r>
          </w:p>
        </w:tc>
        <w:tc>
          <w:tcPr>
            <w:tcW w:w="807" w:type="pct"/>
            <w:vAlign w:val="center"/>
            <w:hideMark/>
          </w:tcPr>
          <w:p w14:paraId="11090188" w14:textId="019ED04A" w:rsidR="00B54A77" w:rsidRPr="00074E91" w:rsidRDefault="00B54A77" w:rsidP="00B54A77">
            <w:pPr>
              <w:spacing w:line="240" w:lineRule="auto"/>
              <w:jc w:val="center"/>
              <w:rPr>
                <w:rFonts w:cs="Arial"/>
                <w:szCs w:val="18"/>
              </w:rPr>
            </w:pPr>
            <w:r w:rsidRPr="00074E91">
              <w:rPr>
                <w:rFonts w:cs="Arial"/>
                <w:szCs w:val="18"/>
              </w:rPr>
              <w:t>CI</w:t>
            </w:r>
          </w:p>
        </w:tc>
      </w:tr>
      <w:tr w:rsidR="00B54A77" w:rsidRPr="00074E91" w14:paraId="0A637705" w14:textId="77777777" w:rsidTr="00186F3F">
        <w:trPr>
          <w:trHeight w:val="459"/>
        </w:trPr>
        <w:tc>
          <w:tcPr>
            <w:tcW w:w="315" w:type="pct"/>
            <w:vAlign w:val="center"/>
            <w:hideMark/>
          </w:tcPr>
          <w:p w14:paraId="23644380" w14:textId="77777777" w:rsidR="00B54A77" w:rsidRPr="00074E91" w:rsidRDefault="00B54A77" w:rsidP="00B54A77">
            <w:pPr>
              <w:spacing w:line="240" w:lineRule="auto"/>
              <w:jc w:val="center"/>
              <w:rPr>
                <w:rFonts w:cs="Arial"/>
                <w:szCs w:val="18"/>
              </w:rPr>
            </w:pPr>
            <w:r w:rsidRPr="00074E91">
              <w:rPr>
                <w:rFonts w:cs="Arial"/>
                <w:szCs w:val="18"/>
              </w:rPr>
              <w:t>3</w:t>
            </w:r>
          </w:p>
        </w:tc>
        <w:tc>
          <w:tcPr>
            <w:tcW w:w="3878" w:type="pct"/>
            <w:vAlign w:val="center"/>
            <w:hideMark/>
          </w:tcPr>
          <w:p w14:paraId="587E4F01" w14:textId="77777777" w:rsidR="00B54A77" w:rsidRPr="00074E91" w:rsidRDefault="00B54A77" w:rsidP="00B54A77">
            <w:pPr>
              <w:spacing w:line="240" w:lineRule="auto"/>
              <w:jc w:val="left"/>
              <w:rPr>
                <w:rFonts w:cs="Arial"/>
                <w:szCs w:val="18"/>
              </w:rPr>
            </w:pPr>
            <w:r w:rsidRPr="00074E91">
              <w:rPr>
                <w:rFonts w:cs="Arial"/>
                <w:szCs w:val="18"/>
              </w:rPr>
              <w:t>Árbol de Objetivos</w:t>
            </w:r>
          </w:p>
        </w:tc>
        <w:tc>
          <w:tcPr>
            <w:tcW w:w="807" w:type="pct"/>
            <w:vAlign w:val="center"/>
            <w:hideMark/>
          </w:tcPr>
          <w:p w14:paraId="00A9BA79" w14:textId="201BDB49" w:rsidR="00B54A77" w:rsidRPr="00074E91" w:rsidRDefault="00B54A77" w:rsidP="00B54A77">
            <w:pPr>
              <w:spacing w:line="240" w:lineRule="auto"/>
              <w:jc w:val="center"/>
              <w:rPr>
                <w:rFonts w:cs="Arial"/>
                <w:szCs w:val="18"/>
              </w:rPr>
            </w:pPr>
            <w:r w:rsidRPr="00074E91">
              <w:rPr>
                <w:rFonts w:cs="Arial"/>
                <w:szCs w:val="18"/>
              </w:rPr>
              <w:t>CI</w:t>
            </w:r>
          </w:p>
        </w:tc>
      </w:tr>
      <w:tr w:rsidR="00B54A77" w:rsidRPr="00074E91" w14:paraId="2960E440" w14:textId="77777777" w:rsidTr="00186F3F">
        <w:trPr>
          <w:trHeight w:val="459"/>
        </w:trPr>
        <w:tc>
          <w:tcPr>
            <w:tcW w:w="315" w:type="pct"/>
            <w:vAlign w:val="center"/>
            <w:hideMark/>
          </w:tcPr>
          <w:p w14:paraId="24D9C419" w14:textId="77777777" w:rsidR="00B54A77" w:rsidRPr="00074E91" w:rsidRDefault="00B54A77" w:rsidP="00B54A77">
            <w:pPr>
              <w:spacing w:line="240" w:lineRule="auto"/>
              <w:jc w:val="center"/>
              <w:rPr>
                <w:rFonts w:cs="Arial"/>
                <w:szCs w:val="18"/>
              </w:rPr>
            </w:pPr>
            <w:r w:rsidRPr="00074E91">
              <w:rPr>
                <w:rFonts w:cs="Arial"/>
                <w:szCs w:val="18"/>
              </w:rPr>
              <w:t>4</w:t>
            </w:r>
          </w:p>
        </w:tc>
        <w:tc>
          <w:tcPr>
            <w:tcW w:w="3878" w:type="pct"/>
            <w:vAlign w:val="center"/>
            <w:hideMark/>
          </w:tcPr>
          <w:p w14:paraId="5144CAC9" w14:textId="77777777" w:rsidR="00B54A77" w:rsidRPr="00074E91" w:rsidRDefault="00B54A77" w:rsidP="00B54A77">
            <w:pPr>
              <w:spacing w:line="240" w:lineRule="auto"/>
              <w:jc w:val="left"/>
              <w:rPr>
                <w:rFonts w:cs="Arial"/>
                <w:szCs w:val="18"/>
              </w:rPr>
            </w:pPr>
            <w:r w:rsidRPr="00074E91">
              <w:rPr>
                <w:rFonts w:cs="Arial"/>
                <w:bCs/>
                <w:szCs w:val="18"/>
              </w:rPr>
              <w:t>Estrategia de Cobertura</w:t>
            </w:r>
          </w:p>
        </w:tc>
        <w:tc>
          <w:tcPr>
            <w:tcW w:w="807" w:type="pct"/>
            <w:vAlign w:val="center"/>
            <w:hideMark/>
          </w:tcPr>
          <w:p w14:paraId="57245F17" w14:textId="249CA35E" w:rsidR="00B54A77" w:rsidRPr="00074E91" w:rsidRDefault="00B54A77" w:rsidP="00B54A77">
            <w:pPr>
              <w:spacing w:line="240" w:lineRule="auto"/>
              <w:jc w:val="center"/>
              <w:rPr>
                <w:rFonts w:cs="Arial"/>
                <w:szCs w:val="18"/>
              </w:rPr>
            </w:pPr>
            <w:r w:rsidRPr="00074E91">
              <w:rPr>
                <w:rFonts w:cs="Arial"/>
                <w:szCs w:val="18"/>
              </w:rPr>
              <w:t>CI</w:t>
            </w:r>
          </w:p>
        </w:tc>
      </w:tr>
      <w:tr w:rsidR="00B54A77" w:rsidRPr="00074E91" w14:paraId="5186FB35" w14:textId="77777777" w:rsidTr="00186F3F">
        <w:trPr>
          <w:trHeight w:val="459"/>
        </w:trPr>
        <w:tc>
          <w:tcPr>
            <w:tcW w:w="315" w:type="pct"/>
            <w:vAlign w:val="center"/>
          </w:tcPr>
          <w:p w14:paraId="05213E80" w14:textId="77777777" w:rsidR="00B54A77" w:rsidRPr="00074E91" w:rsidRDefault="00B54A77" w:rsidP="00B54A77">
            <w:pPr>
              <w:spacing w:line="240" w:lineRule="auto"/>
              <w:jc w:val="center"/>
              <w:rPr>
                <w:rFonts w:cs="Arial"/>
                <w:szCs w:val="18"/>
              </w:rPr>
            </w:pPr>
            <w:r w:rsidRPr="00074E91">
              <w:rPr>
                <w:rFonts w:cs="Arial"/>
                <w:szCs w:val="18"/>
              </w:rPr>
              <w:t>4.1</w:t>
            </w:r>
          </w:p>
        </w:tc>
        <w:tc>
          <w:tcPr>
            <w:tcW w:w="3878" w:type="pct"/>
            <w:vAlign w:val="center"/>
          </w:tcPr>
          <w:p w14:paraId="67676068" w14:textId="77777777" w:rsidR="00B54A77" w:rsidRPr="00074E91" w:rsidRDefault="00B54A77" w:rsidP="00B54A77">
            <w:pPr>
              <w:spacing w:line="240" w:lineRule="auto"/>
              <w:jc w:val="left"/>
              <w:rPr>
                <w:rFonts w:cs="Arial"/>
                <w:bCs/>
                <w:szCs w:val="18"/>
              </w:rPr>
            </w:pPr>
            <w:r w:rsidRPr="00074E91">
              <w:rPr>
                <w:rFonts w:cs="Arial"/>
                <w:bCs/>
                <w:szCs w:val="18"/>
              </w:rPr>
              <w:t>Identificación de la Perspectiva de Género</w:t>
            </w:r>
          </w:p>
        </w:tc>
        <w:tc>
          <w:tcPr>
            <w:tcW w:w="807" w:type="pct"/>
            <w:vAlign w:val="center"/>
          </w:tcPr>
          <w:p w14:paraId="03EA608F" w14:textId="56101431" w:rsidR="00B54A77" w:rsidRPr="00074E91" w:rsidRDefault="00B54A77" w:rsidP="00B54A77">
            <w:pPr>
              <w:spacing w:line="240" w:lineRule="auto"/>
              <w:jc w:val="center"/>
              <w:rPr>
                <w:rFonts w:cs="Arial"/>
                <w:szCs w:val="18"/>
              </w:rPr>
            </w:pPr>
            <w:r w:rsidRPr="00074E91">
              <w:rPr>
                <w:rFonts w:cs="Arial"/>
                <w:szCs w:val="18"/>
              </w:rPr>
              <w:t>CI</w:t>
            </w:r>
          </w:p>
        </w:tc>
      </w:tr>
      <w:tr w:rsidR="00B54A77" w:rsidRPr="00074E91" w14:paraId="77198022" w14:textId="77777777" w:rsidTr="00186F3F">
        <w:trPr>
          <w:trHeight w:val="459"/>
        </w:trPr>
        <w:tc>
          <w:tcPr>
            <w:tcW w:w="315" w:type="pct"/>
            <w:vAlign w:val="center"/>
            <w:hideMark/>
          </w:tcPr>
          <w:p w14:paraId="425FEF01" w14:textId="77777777" w:rsidR="00B54A77" w:rsidRPr="00074E91" w:rsidRDefault="00B54A77" w:rsidP="00B54A77">
            <w:pPr>
              <w:spacing w:line="240" w:lineRule="auto"/>
              <w:jc w:val="center"/>
              <w:rPr>
                <w:rFonts w:cs="Arial"/>
                <w:szCs w:val="18"/>
              </w:rPr>
            </w:pPr>
            <w:r w:rsidRPr="00074E91">
              <w:rPr>
                <w:rFonts w:cs="Arial"/>
                <w:szCs w:val="18"/>
              </w:rPr>
              <w:t>5</w:t>
            </w:r>
          </w:p>
        </w:tc>
        <w:tc>
          <w:tcPr>
            <w:tcW w:w="3878" w:type="pct"/>
            <w:vAlign w:val="center"/>
            <w:hideMark/>
          </w:tcPr>
          <w:p w14:paraId="7560CF87" w14:textId="77777777" w:rsidR="00B54A77" w:rsidRPr="00074E91" w:rsidRDefault="00B54A77" w:rsidP="00B54A77">
            <w:pPr>
              <w:spacing w:line="240" w:lineRule="auto"/>
              <w:jc w:val="left"/>
              <w:rPr>
                <w:rFonts w:cs="Arial"/>
                <w:szCs w:val="18"/>
              </w:rPr>
            </w:pPr>
            <w:r w:rsidRPr="00074E91">
              <w:rPr>
                <w:rFonts w:cs="Arial"/>
                <w:szCs w:val="18"/>
              </w:rPr>
              <w:t>Mecanismo de Solicitud</w:t>
            </w:r>
          </w:p>
        </w:tc>
        <w:tc>
          <w:tcPr>
            <w:tcW w:w="807" w:type="pct"/>
            <w:vAlign w:val="center"/>
            <w:hideMark/>
          </w:tcPr>
          <w:p w14:paraId="1E0669E7" w14:textId="4E784280" w:rsidR="00B54A77" w:rsidRPr="00074E91" w:rsidRDefault="00B54A77" w:rsidP="00B54A77">
            <w:pPr>
              <w:spacing w:line="240" w:lineRule="auto"/>
              <w:jc w:val="center"/>
              <w:rPr>
                <w:rFonts w:cs="Arial"/>
                <w:szCs w:val="18"/>
              </w:rPr>
            </w:pPr>
            <w:r w:rsidRPr="00074E91">
              <w:rPr>
                <w:rFonts w:cs="Arial"/>
                <w:szCs w:val="18"/>
              </w:rPr>
              <w:t>CI</w:t>
            </w:r>
          </w:p>
        </w:tc>
      </w:tr>
      <w:tr w:rsidR="00B54A77" w:rsidRPr="00074E91" w14:paraId="6F8DF846" w14:textId="77777777" w:rsidTr="00186F3F">
        <w:trPr>
          <w:trHeight w:val="459"/>
        </w:trPr>
        <w:tc>
          <w:tcPr>
            <w:tcW w:w="315" w:type="pct"/>
            <w:vAlign w:val="center"/>
          </w:tcPr>
          <w:p w14:paraId="2855818D" w14:textId="77777777" w:rsidR="00B54A77" w:rsidRPr="00074E91" w:rsidRDefault="00B54A77" w:rsidP="00B54A77">
            <w:pPr>
              <w:spacing w:line="240" w:lineRule="auto"/>
              <w:jc w:val="center"/>
              <w:rPr>
                <w:rFonts w:cs="Arial"/>
                <w:szCs w:val="18"/>
              </w:rPr>
            </w:pPr>
            <w:r w:rsidRPr="00074E91">
              <w:rPr>
                <w:rFonts w:cs="Arial"/>
                <w:szCs w:val="18"/>
              </w:rPr>
              <w:t>6</w:t>
            </w:r>
          </w:p>
        </w:tc>
        <w:tc>
          <w:tcPr>
            <w:tcW w:w="3878" w:type="pct"/>
            <w:vAlign w:val="center"/>
          </w:tcPr>
          <w:p w14:paraId="7357D8F5" w14:textId="77777777" w:rsidR="00B54A77" w:rsidRPr="00074E91" w:rsidRDefault="00B54A77" w:rsidP="00B54A77">
            <w:pPr>
              <w:spacing w:line="240" w:lineRule="auto"/>
              <w:jc w:val="left"/>
              <w:rPr>
                <w:rFonts w:cs="Arial"/>
                <w:szCs w:val="18"/>
              </w:rPr>
            </w:pPr>
            <w:r w:rsidRPr="00074E91">
              <w:rPr>
                <w:rFonts w:cs="Arial"/>
                <w:szCs w:val="18"/>
              </w:rPr>
              <w:t>Mecanismo de Entrega</w:t>
            </w:r>
          </w:p>
        </w:tc>
        <w:tc>
          <w:tcPr>
            <w:tcW w:w="807" w:type="pct"/>
            <w:vAlign w:val="center"/>
          </w:tcPr>
          <w:p w14:paraId="0C2B2DF0" w14:textId="0CF956D6" w:rsidR="00B54A77" w:rsidRPr="00074E91" w:rsidRDefault="00B54A77" w:rsidP="00B54A77">
            <w:pPr>
              <w:spacing w:line="240" w:lineRule="auto"/>
              <w:jc w:val="center"/>
              <w:rPr>
                <w:rFonts w:cs="Arial"/>
                <w:szCs w:val="18"/>
              </w:rPr>
            </w:pPr>
            <w:r w:rsidRPr="00074E91">
              <w:rPr>
                <w:rFonts w:cs="Arial"/>
                <w:szCs w:val="18"/>
              </w:rPr>
              <w:t>CI</w:t>
            </w:r>
          </w:p>
        </w:tc>
      </w:tr>
      <w:tr w:rsidR="00B54A77" w:rsidRPr="00074E91" w14:paraId="7E0BA62D" w14:textId="77777777" w:rsidTr="00186F3F">
        <w:trPr>
          <w:trHeight w:val="459"/>
        </w:trPr>
        <w:tc>
          <w:tcPr>
            <w:tcW w:w="315" w:type="pct"/>
            <w:vAlign w:val="center"/>
          </w:tcPr>
          <w:p w14:paraId="347A7617" w14:textId="77777777" w:rsidR="00B54A77" w:rsidRPr="00074E91" w:rsidRDefault="00B54A77" w:rsidP="00B54A77">
            <w:pPr>
              <w:spacing w:line="240" w:lineRule="auto"/>
              <w:jc w:val="center"/>
              <w:rPr>
                <w:rFonts w:cs="Arial"/>
                <w:szCs w:val="18"/>
              </w:rPr>
            </w:pPr>
            <w:r w:rsidRPr="00074E91">
              <w:rPr>
                <w:rFonts w:cs="Arial"/>
                <w:szCs w:val="18"/>
              </w:rPr>
              <w:t>7</w:t>
            </w:r>
          </w:p>
        </w:tc>
        <w:tc>
          <w:tcPr>
            <w:tcW w:w="3878" w:type="pct"/>
            <w:vAlign w:val="center"/>
          </w:tcPr>
          <w:p w14:paraId="5911101E" w14:textId="77777777" w:rsidR="00B54A77" w:rsidRPr="00074E91" w:rsidRDefault="00B54A77" w:rsidP="00B54A77">
            <w:pPr>
              <w:spacing w:line="240" w:lineRule="auto"/>
              <w:jc w:val="left"/>
              <w:rPr>
                <w:rFonts w:cs="Arial"/>
                <w:szCs w:val="18"/>
              </w:rPr>
            </w:pPr>
            <w:r w:rsidRPr="00074E91">
              <w:rPr>
                <w:rFonts w:cs="Arial"/>
                <w:szCs w:val="18"/>
              </w:rPr>
              <w:t>Procedimiento de actualización de la población atendida</w:t>
            </w:r>
          </w:p>
        </w:tc>
        <w:tc>
          <w:tcPr>
            <w:tcW w:w="807" w:type="pct"/>
            <w:vAlign w:val="center"/>
          </w:tcPr>
          <w:p w14:paraId="7EA43ED6" w14:textId="0D609273" w:rsidR="00B54A77" w:rsidRPr="00074E91" w:rsidRDefault="00B54A77" w:rsidP="00B54A77">
            <w:pPr>
              <w:spacing w:line="240" w:lineRule="auto"/>
              <w:jc w:val="center"/>
              <w:rPr>
                <w:rFonts w:cs="Arial"/>
                <w:szCs w:val="18"/>
              </w:rPr>
            </w:pPr>
            <w:r w:rsidRPr="00074E91">
              <w:rPr>
                <w:rFonts w:cs="Arial"/>
                <w:szCs w:val="18"/>
              </w:rPr>
              <w:t>CI</w:t>
            </w:r>
          </w:p>
        </w:tc>
      </w:tr>
      <w:tr w:rsidR="00B54A77" w:rsidRPr="00074E91" w14:paraId="36204B79" w14:textId="77777777" w:rsidTr="00186F3F">
        <w:trPr>
          <w:trHeight w:val="459"/>
        </w:trPr>
        <w:tc>
          <w:tcPr>
            <w:tcW w:w="315" w:type="pct"/>
            <w:vAlign w:val="center"/>
          </w:tcPr>
          <w:p w14:paraId="1FF31817" w14:textId="77777777" w:rsidR="00B54A77" w:rsidRPr="00074E91" w:rsidRDefault="00B54A77" w:rsidP="00B54A77">
            <w:pPr>
              <w:spacing w:line="240" w:lineRule="auto"/>
              <w:jc w:val="center"/>
              <w:rPr>
                <w:rFonts w:cs="Arial"/>
                <w:szCs w:val="18"/>
              </w:rPr>
            </w:pPr>
            <w:r w:rsidRPr="00074E91">
              <w:rPr>
                <w:rFonts w:cs="Arial"/>
                <w:szCs w:val="18"/>
              </w:rPr>
              <w:t>8</w:t>
            </w:r>
          </w:p>
        </w:tc>
        <w:tc>
          <w:tcPr>
            <w:tcW w:w="3878" w:type="pct"/>
            <w:vAlign w:val="center"/>
          </w:tcPr>
          <w:p w14:paraId="4BEFFB0E" w14:textId="77777777" w:rsidR="00B54A77" w:rsidRPr="00074E91" w:rsidRDefault="00B54A77" w:rsidP="00B54A77">
            <w:pPr>
              <w:spacing w:line="240" w:lineRule="auto"/>
              <w:jc w:val="left"/>
              <w:rPr>
                <w:rFonts w:cs="Arial"/>
                <w:szCs w:val="18"/>
              </w:rPr>
            </w:pPr>
            <w:r w:rsidRPr="00074E91">
              <w:rPr>
                <w:rFonts w:cs="Arial"/>
                <w:bCs/>
                <w:szCs w:val="18"/>
              </w:rPr>
              <w:t>Presupuesto</w:t>
            </w:r>
          </w:p>
        </w:tc>
        <w:tc>
          <w:tcPr>
            <w:tcW w:w="807" w:type="pct"/>
            <w:vAlign w:val="center"/>
          </w:tcPr>
          <w:p w14:paraId="507F139D" w14:textId="18455A3B" w:rsidR="00B54A77" w:rsidRPr="00074E91" w:rsidRDefault="00B54A77" w:rsidP="00B54A77">
            <w:pPr>
              <w:spacing w:line="240" w:lineRule="auto"/>
              <w:jc w:val="center"/>
              <w:rPr>
                <w:rFonts w:cs="Arial"/>
                <w:szCs w:val="18"/>
              </w:rPr>
            </w:pPr>
            <w:r w:rsidRPr="00074E91">
              <w:rPr>
                <w:rFonts w:cs="Arial"/>
                <w:szCs w:val="18"/>
              </w:rPr>
              <w:t>CI</w:t>
            </w:r>
          </w:p>
        </w:tc>
      </w:tr>
      <w:tr w:rsidR="00B54A77" w:rsidRPr="00074E91" w14:paraId="77C27E48" w14:textId="77777777" w:rsidTr="00186F3F">
        <w:trPr>
          <w:trHeight w:val="459"/>
        </w:trPr>
        <w:tc>
          <w:tcPr>
            <w:tcW w:w="315" w:type="pct"/>
            <w:vAlign w:val="center"/>
          </w:tcPr>
          <w:p w14:paraId="0FFC27D8" w14:textId="77777777" w:rsidR="00B54A77" w:rsidRPr="00074E91" w:rsidRDefault="00B54A77" w:rsidP="00B54A77">
            <w:pPr>
              <w:spacing w:line="240" w:lineRule="auto"/>
              <w:jc w:val="center"/>
              <w:rPr>
                <w:rFonts w:cs="Arial"/>
                <w:szCs w:val="18"/>
              </w:rPr>
            </w:pPr>
            <w:r w:rsidRPr="00074E91">
              <w:rPr>
                <w:rFonts w:cs="Arial"/>
                <w:szCs w:val="18"/>
              </w:rPr>
              <w:t>9</w:t>
            </w:r>
          </w:p>
        </w:tc>
        <w:tc>
          <w:tcPr>
            <w:tcW w:w="3878" w:type="pct"/>
            <w:vAlign w:val="center"/>
          </w:tcPr>
          <w:p w14:paraId="57913680" w14:textId="77777777" w:rsidR="00B54A77" w:rsidRPr="00074E91" w:rsidRDefault="00B54A77" w:rsidP="00B54A77">
            <w:pPr>
              <w:spacing w:line="240" w:lineRule="auto"/>
              <w:jc w:val="left"/>
              <w:rPr>
                <w:rFonts w:cs="Arial"/>
                <w:bCs/>
                <w:szCs w:val="18"/>
              </w:rPr>
            </w:pPr>
            <w:r w:rsidRPr="00074E91">
              <w:rPr>
                <w:rFonts w:cs="Arial"/>
                <w:bCs/>
                <w:szCs w:val="18"/>
              </w:rPr>
              <w:t>Alineación a objetivos de la planeación estatal</w:t>
            </w:r>
          </w:p>
        </w:tc>
        <w:tc>
          <w:tcPr>
            <w:tcW w:w="807" w:type="pct"/>
            <w:vAlign w:val="center"/>
          </w:tcPr>
          <w:p w14:paraId="78E4ACB4" w14:textId="10529B0E" w:rsidR="00B54A77" w:rsidRPr="00074E91" w:rsidRDefault="00B54A77" w:rsidP="00B54A77">
            <w:pPr>
              <w:spacing w:line="240" w:lineRule="auto"/>
              <w:jc w:val="center"/>
              <w:rPr>
                <w:rFonts w:cs="Arial"/>
                <w:szCs w:val="18"/>
              </w:rPr>
            </w:pPr>
            <w:r w:rsidRPr="00074E91">
              <w:rPr>
                <w:rFonts w:cs="Arial"/>
                <w:szCs w:val="18"/>
              </w:rPr>
              <w:t>CI</w:t>
            </w:r>
          </w:p>
        </w:tc>
      </w:tr>
      <w:tr w:rsidR="00B54A77" w:rsidRPr="00074E91" w14:paraId="54DDA88F" w14:textId="77777777" w:rsidTr="00186F3F">
        <w:trPr>
          <w:trHeight w:val="459"/>
        </w:trPr>
        <w:tc>
          <w:tcPr>
            <w:tcW w:w="315" w:type="pct"/>
            <w:vAlign w:val="center"/>
          </w:tcPr>
          <w:p w14:paraId="7B738AF6" w14:textId="77777777" w:rsidR="00B54A77" w:rsidRPr="00074E91" w:rsidRDefault="00B54A77" w:rsidP="00B54A77">
            <w:pPr>
              <w:spacing w:line="240" w:lineRule="auto"/>
              <w:jc w:val="center"/>
              <w:rPr>
                <w:rFonts w:cs="Arial"/>
                <w:szCs w:val="18"/>
              </w:rPr>
            </w:pPr>
            <w:r w:rsidRPr="00074E91">
              <w:rPr>
                <w:rFonts w:cs="Arial"/>
                <w:szCs w:val="18"/>
              </w:rPr>
              <w:t>10</w:t>
            </w:r>
          </w:p>
        </w:tc>
        <w:tc>
          <w:tcPr>
            <w:tcW w:w="3878" w:type="pct"/>
            <w:vAlign w:val="center"/>
          </w:tcPr>
          <w:p w14:paraId="1AA6F47C" w14:textId="77777777" w:rsidR="00B54A77" w:rsidRPr="00074E91" w:rsidRDefault="00B54A77" w:rsidP="00B54A77">
            <w:pPr>
              <w:spacing w:line="240" w:lineRule="auto"/>
              <w:jc w:val="left"/>
              <w:rPr>
                <w:rFonts w:cs="Arial"/>
                <w:szCs w:val="18"/>
              </w:rPr>
            </w:pPr>
            <w:r w:rsidRPr="00074E91">
              <w:rPr>
                <w:rFonts w:cs="Arial"/>
                <w:szCs w:val="18"/>
              </w:rPr>
              <w:t>Alineación a los ODS</w:t>
            </w:r>
          </w:p>
        </w:tc>
        <w:tc>
          <w:tcPr>
            <w:tcW w:w="807" w:type="pct"/>
            <w:vAlign w:val="center"/>
          </w:tcPr>
          <w:p w14:paraId="11FDE8EE" w14:textId="2F0E7E9B" w:rsidR="00B54A77" w:rsidRPr="00074E91" w:rsidRDefault="00B54A77" w:rsidP="00B54A77">
            <w:pPr>
              <w:spacing w:line="240" w:lineRule="auto"/>
              <w:jc w:val="center"/>
              <w:rPr>
                <w:rFonts w:cs="Arial"/>
                <w:szCs w:val="18"/>
              </w:rPr>
            </w:pPr>
            <w:r w:rsidRPr="00074E91">
              <w:rPr>
                <w:rFonts w:cs="Arial"/>
                <w:szCs w:val="18"/>
              </w:rPr>
              <w:t>CI</w:t>
            </w:r>
          </w:p>
        </w:tc>
      </w:tr>
      <w:tr w:rsidR="00B54A77" w:rsidRPr="00074E91" w14:paraId="3509C98D" w14:textId="77777777" w:rsidTr="00186F3F">
        <w:trPr>
          <w:trHeight w:val="459"/>
        </w:trPr>
        <w:tc>
          <w:tcPr>
            <w:tcW w:w="315" w:type="pct"/>
            <w:vAlign w:val="center"/>
          </w:tcPr>
          <w:p w14:paraId="56985555" w14:textId="77777777" w:rsidR="00B54A77" w:rsidRPr="00074E91" w:rsidRDefault="00B54A77" w:rsidP="00B54A77">
            <w:pPr>
              <w:spacing w:line="240" w:lineRule="auto"/>
              <w:jc w:val="center"/>
              <w:rPr>
                <w:rFonts w:cs="Arial"/>
                <w:szCs w:val="18"/>
              </w:rPr>
            </w:pPr>
            <w:r w:rsidRPr="00074E91">
              <w:rPr>
                <w:rFonts w:cs="Arial"/>
                <w:szCs w:val="18"/>
              </w:rPr>
              <w:t>11</w:t>
            </w:r>
          </w:p>
        </w:tc>
        <w:tc>
          <w:tcPr>
            <w:tcW w:w="3878" w:type="pct"/>
            <w:vAlign w:val="center"/>
          </w:tcPr>
          <w:p w14:paraId="2D0E807C" w14:textId="77777777" w:rsidR="00B54A77" w:rsidRPr="00074E91" w:rsidRDefault="00B54A77" w:rsidP="00B54A77">
            <w:pPr>
              <w:spacing w:line="240" w:lineRule="auto"/>
              <w:jc w:val="left"/>
              <w:rPr>
                <w:rFonts w:cs="Arial"/>
                <w:szCs w:val="18"/>
              </w:rPr>
            </w:pPr>
            <w:r w:rsidRPr="00074E91">
              <w:rPr>
                <w:rFonts w:cs="Arial"/>
                <w:szCs w:val="18"/>
              </w:rPr>
              <w:t>Instrumentos de Seguimiento del Desempeño</w:t>
            </w:r>
          </w:p>
        </w:tc>
        <w:tc>
          <w:tcPr>
            <w:tcW w:w="807" w:type="pct"/>
            <w:vAlign w:val="center"/>
          </w:tcPr>
          <w:p w14:paraId="2063F063" w14:textId="7941F8D6" w:rsidR="00B54A77" w:rsidRPr="00074E91" w:rsidRDefault="00B54A77" w:rsidP="00B54A77">
            <w:pPr>
              <w:spacing w:line="240" w:lineRule="auto"/>
              <w:jc w:val="center"/>
              <w:rPr>
                <w:rFonts w:cs="Arial"/>
                <w:szCs w:val="18"/>
              </w:rPr>
            </w:pPr>
            <w:r w:rsidRPr="00074E91">
              <w:rPr>
                <w:rFonts w:cs="Arial"/>
                <w:szCs w:val="18"/>
              </w:rPr>
              <w:t>CI</w:t>
            </w:r>
          </w:p>
        </w:tc>
      </w:tr>
      <w:tr w:rsidR="00B54A77" w:rsidRPr="00074E91" w14:paraId="66960B49" w14:textId="77777777" w:rsidTr="00186F3F">
        <w:trPr>
          <w:trHeight w:val="459"/>
        </w:trPr>
        <w:tc>
          <w:tcPr>
            <w:tcW w:w="315" w:type="pct"/>
            <w:vAlign w:val="center"/>
          </w:tcPr>
          <w:p w14:paraId="5385F9EB" w14:textId="77777777" w:rsidR="00B54A77" w:rsidRPr="00074E91" w:rsidRDefault="00B54A77" w:rsidP="00B54A77">
            <w:pPr>
              <w:spacing w:line="240" w:lineRule="auto"/>
              <w:jc w:val="center"/>
              <w:rPr>
                <w:rFonts w:cs="Arial"/>
                <w:szCs w:val="18"/>
              </w:rPr>
            </w:pPr>
            <w:r w:rsidRPr="00074E91">
              <w:rPr>
                <w:rFonts w:cs="Arial"/>
                <w:szCs w:val="18"/>
              </w:rPr>
              <w:t>12</w:t>
            </w:r>
          </w:p>
        </w:tc>
        <w:tc>
          <w:tcPr>
            <w:tcW w:w="3878" w:type="pct"/>
            <w:vAlign w:val="center"/>
          </w:tcPr>
          <w:p w14:paraId="55D18217" w14:textId="77777777" w:rsidR="00B54A77" w:rsidRPr="00074E91" w:rsidRDefault="00B54A77" w:rsidP="00B54A77">
            <w:pPr>
              <w:spacing w:line="240" w:lineRule="auto"/>
              <w:jc w:val="left"/>
              <w:rPr>
                <w:rFonts w:cs="Arial"/>
                <w:szCs w:val="18"/>
              </w:rPr>
            </w:pPr>
            <w:r w:rsidRPr="00074E91">
              <w:rPr>
                <w:rFonts w:cs="Arial"/>
                <w:szCs w:val="18"/>
              </w:rPr>
              <w:t>Fuentes de información de la evaluación</w:t>
            </w:r>
          </w:p>
        </w:tc>
        <w:tc>
          <w:tcPr>
            <w:tcW w:w="807" w:type="pct"/>
            <w:vAlign w:val="center"/>
          </w:tcPr>
          <w:p w14:paraId="61787E66" w14:textId="69E06418" w:rsidR="00B54A77" w:rsidRPr="00074E91" w:rsidRDefault="00B54A77" w:rsidP="00B54A77">
            <w:pPr>
              <w:spacing w:line="240" w:lineRule="auto"/>
              <w:jc w:val="center"/>
              <w:rPr>
                <w:rFonts w:cs="Arial"/>
                <w:szCs w:val="18"/>
              </w:rPr>
            </w:pPr>
            <w:r w:rsidRPr="00074E91">
              <w:rPr>
                <w:rFonts w:cs="Arial"/>
                <w:szCs w:val="18"/>
              </w:rPr>
              <w:t>CI</w:t>
            </w:r>
          </w:p>
        </w:tc>
      </w:tr>
      <w:tr w:rsidR="00B54A77" w:rsidRPr="00074E91" w14:paraId="1AEDBB07" w14:textId="77777777" w:rsidTr="00186F3F">
        <w:trPr>
          <w:trHeight w:val="459"/>
        </w:trPr>
        <w:tc>
          <w:tcPr>
            <w:tcW w:w="315" w:type="pct"/>
            <w:vAlign w:val="center"/>
          </w:tcPr>
          <w:p w14:paraId="253BCF81" w14:textId="77777777" w:rsidR="00B54A77" w:rsidRPr="00074E91" w:rsidRDefault="00B54A77" w:rsidP="00B54A77">
            <w:pPr>
              <w:spacing w:line="240" w:lineRule="auto"/>
              <w:jc w:val="center"/>
              <w:rPr>
                <w:rFonts w:cs="Arial"/>
                <w:szCs w:val="18"/>
              </w:rPr>
            </w:pPr>
            <w:r w:rsidRPr="00074E91">
              <w:rPr>
                <w:rFonts w:cs="Arial"/>
                <w:szCs w:val="18"/>
              </w:rPr>
              <w:t>13</w:t>
            </w:r>
          </w:p>
        </w:tc>
        <w:tc>
          <w:tcPr>
            <w:tcW w:w="3878" w:type="pct"/>
            <w:vAlign w:val="center"/>
          </w:tcPr>
          <w:p w14:paraId="0294557E" w14:textId="77777777" w:rsidR="00B54A77" w:rsidRPr="00074E91" w:rsidRDefault="00B54A77" w:rsidP="00B54A77">
            <w:pPr>
              <w:spacing w:line="240" w:lineRule="auto"/>
              <w:jc w:val="left"/>
              <w:rPr>
                <w:rFonts w:cs="Arial"/>
                <w:szCs w:val="18"/>
              </w:rPr>
            </w:pPr>
            <w:r w:rsidRPr="00074E91">
              <w:rPr>
                <w:rFonts w:cs="Arial"/>
                <w:szCs w:val="18"/>
              </w:rPr>
              <w:t>Ficha técnica de datos generales de la evaluación</w:t>
            </w:r>
          </w:p>
        </w:tc>
        <w:tc>
          <w:tcPr>
            <w:tcW w:w="807" w:type="pct"/>
            <w:vAlign w:val="center"/>
          </w:tcPr>
          <w:p w14:paraId="0FA07D25" w14:textId="4888A7EE" w:rsidR="00B54A77" w:rsidRPr="00074E91" w:rsidRDefault="00B54A77" w:rsidP="00B54A77">
            <w:pPr>
              <w:spacing w:line="240" w:lineRule="auto"/>
              <w:jc w:val="center"/>
              <w:rPr>
                <w:rFonts w:cs="Arial"/>
                <w:szCs w:val="18"/>
              </w:rPr>
            </w:pPr>
            <w:r w:rsidRPr="00074E91">
              <w:rPr>
                <w:rFonts w:cs="Arial"/>
                <w:szCs w:val="18"/>
              </w:rPr>
              <w:t>CI</w:t>
            </w:r>
          </w:p>
        </w:tc>
      </w:tr>
    </w:tbl>
    <w:p w14:paraId="2D2CCA12" w14:textId="3D9F3957" w:rsidR="00BB4F72" w:rsidRPr="00074E91" w:rsidRDefault="00B54A77">
      <w:pPr>
        <w:spacing w:line="276" w:lineRule="auto"/>
        <w:jc w:val="left"/>
        <w:rPr>
          <w:rFonts w:cs="Arial"/>
          <w:lang w:val="es-ES"/>
        </w:rPr>
      </w:pPr>
      <w:r w:rsidRPr="00074E91">
        <w:rPr>
          <w:rFonts w:cs="Arial"/>
          <w:szCs w:val="20"/>
        </w:rPr>
        <w:t xml:space="preserve">CI. Con información; NR. No respondió; NA. No Aplica. </w:t>
      </w:r>
      <w:r w:rsidR="00BB4F72" w:rsidRPr="00074E91">
        <w:rPr>
          <w:rFonts w:cs="Arial"/>
          <w:lang w:val="es-ES"/>
        </w:rPr>
        <w:br w:type="page"/>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4A0" w:firstRow="1" w:lastRow="0" w:firstColumn="1" w:lastColumn="0" w:noHBand="0" w:noVBand="1"/>
      </w:tblPr>
      <w:tblGrid>
        <w:gridCol w:w="1294"/>
        <w:gridCol w:w="3027"/>
        <w:gridCol w:w="1729"/>
        <w:gridCol w:w="1009"/>
        <w:gridCol w:w="1919"/>
      </w:tblGrid>
      <w:tr w:rsidR="00FB090E" w:rsidRPr="002150BE" w14:paraId="7A26FB53" w14:textId="77777777" w:rsidTr="00B94BA3">
        <w:trPr>
          <w:trHeight w:val="681"/>
        </w:trPr>
        <w:tc>
          <w:tcPr>
            <w:tcW w:w="5000" w:type="pct"/>
            <w:gridSpan w:val="5"/>
            <w:shd w:val="clear" w:color="auto" w:fill="404040" w:themeFill="text1" w:themeFillTint="BF"/>
            <w:vAlign w:val="center"/>
          </w:tcPr>
          <w:p w14:paraId="2A50D5CE" w14:textId="77777777" w:rsidR="00FB090E" w:rsidRPr="002150BE" w:rsidRDefault="00FB090E" w:rsidP="00B94BA3">
            <w:pPr>
              <w:spacing w:after="0" w:line="240" w:lineRule="auto"/>
              <w:jc w:val="center"/>
              <w:rPr>
                <w:rFonts w:asciiTheme="minorHAnsi" w:hAnsiTheme="minorHAnsi" w:cstheme="minorHAnsi"/>
                <w:b/>
                <w:color w:val="FFFFFF" w:themeColor="background1"/>
                <w:lang w:eastAsia="es-MX"/>
              </w:rPr>
            </w:pPr>
            <w:r w:rsidRPr="002150BE">
              <w:rPr>
                <w:rFonts w:asciiTheme="minorHAnsi" w:hAnsiTheme="minorHAnsi" w:cstheme="minorHAnsi"/>
                <w:b/>
                <w:color w:val="FFFFFF" w:themeColor="background1"/>
                <w:lang w:eastAsia="es-MX"/>
              </w:rPr>
              <w:lastRenderedPageBreak/>
              <w:t>Anexo 1. Población Objetivo o área de enfoque (Municipios del estado o en el medio ambiente)</w:t>
            </w:r>
          </w:p>
        </w:tc>
      </w:tr>
      <w:tr w:rsidR="00D25998" w:rsidRPr="002150BE" w14:paraId="3029E910" w14:textId="77777777" w:rsidTr="00D25998">
        <w:trPr>
          <w:trHeight w:val="418"/>
        </w:trPr>
        <w:tc>
          <w:tcPr>
            <w:tcW w:w="5000" w:type="pct"/>
            <w:gridSpan w:val="5"/>
            <w:shd w:val="clear" w:color="auto" w:fill="7F7F7F" w:themeFill="text1" w:themeFillTint="80"/>
          </w:tcPr>
          <w:p w14:paraId="4484A7E6" w14:textId="77777777" w:rsidR="00D25998" w:rsidRPr="002150BE" w:rsidRDefault="00D25998" w:rsidP="00606144">
            <w:pPr>
              <w:spacing w:after="0" w:line="240" w:lineRule="auto"/>
              <w:jc w:val="center"/>
              <w:rPr>
                <w:rFonts w:asciiTheme="minorHAnsi" w:hAnsiTheme="minorHAnsi" w:cstheme="minorHAnsi"/>
                <w:b/>
                <w:color w:val="FFFFFF" w:themeColor="background1"/>
                <w:sz w:val="18"/>
                <w:lang w:eastAsia="es-MX"/>
              </w:rPr>
            </w:pPr>
            <w:r w:rsidRPr="002150BE">
              <w:rPr>
                <w:rFonts w:asciiTheme="minorHAnsi" w:hAnsiTheme="minorHAnsi" w:cstheme="minorHAnsi"/>
                <w:b/>
                <w:color w:val="FFFFFF" w:themeColor="background1"/>
                <w:sz w:val="18"/>
                <w:lang w:eastAsia="es-MX"/>
              </w:rPr>
              <w:t>Problema o necesidad pública central (identificado en el Diagnóstico/ MIR/ ISD)</w:t>
            </w:r>
          </w:p>
        </w:tc>
      </w:tr>
      <w:tr w:rsidR="00407C56" w:rsidRPr="002150BE" w14:paraId="4B869162" w14:textId="77777777" w:rsidTr="00407C56">
        <w:trPr>
          <w:trHeight w:val="499"/>
        </w:trPr>
        <w:tc>
          <w:tcPr>
            <w:tcW w:w="5000" w:type="pct"/>
            <w:gridSpan w:val="5"/>
          </w:tcPr>
          <w:p w14:paraId="52DEE1BA" w14:textId="77777777" w:rsidR="00407C56" w:rsidRPr="002150BE" w:rsidRDefault="004E689A" w:rsidP="00606144">
            <w:pPr>
              <w:spacing w:after="0" w:line="240" w:lineRule="auto"/>
              <w:rPr>
                <w:rFonts w:asciiTheme="minorHAnsi" w:hAnsiTheme="minorHAnsi" w:cstheme="minorHAnsi"/>
                <w:iCs/>
                <w:color w:val="3A3838"/>
                <w:sz w:val="18"/>
                <w:lang w:eastAsia="es-MX"/>
              </w:rPr>
            </w:pPr>
            <w:r w:rsidRPr="002150BE">
              <w:rPr>
                <w:rFonts w:asciiTheme="minorHAnsi" w:hAnsiTheme="minorHAnsi" w:cstheme="minorHAnsi"/>
                <w:iCs/>
                <w:color w:val="3A3838"/>
                <w:sz w:val="18"/>
                <w:lang w:eastAsia="es-MX"/>
              </w:rPr>
              <w:t>Los habitantes del estado de Sinaloa egresados de Educación Media Superior demandan educación superior técnica y profesional de calidad con capital humano de excelencia y vinculación con los sectores productivo y social</w:t>
            </w:r>
          </w:p>
        </w:tc>
      </w:tr>
      <w:tr w:rsidR="00D25998" w:rsidRPr="002150BE" w14:paraId="602EF2F4" w14:textId="77777777" w:rsidTr="00D25998">
        <w:trPr>
          <w:trHeight w:val="436"/>
        </w:trPr>
        <w:tc>
          <w:tcPr>
            <w:tcW w:w="5000" w:type="pct"/>
            <w:gridSpan w:val="5"/>
            <w:shd w:val="clear" w:color="auto" w:fill="7F7F7F" w:themeFill="text1" w:themeFillTint="80"/>
          </w:tcPr>
          <w:p w14:paraId="04843D43" w14:textId="77777777" w:rsidR="00D25998" w:rsidRPr="002150BE" w:rsidRDefault="00D25998" w:rsidP="00606144">
            <w:pPr>
              <w:spacing w:after="0" w:line="240" w:lineRule="auto"/>
              <w:jc w:val="center"/>
              <w:rPr>
                <w:rFonts w:asciiTheme="minorHAnsi" w:hAnsiTheme="minorHAnsi" w:cstheme="minorHAnsi"/>
                <w:b/>
                <w:color w:val="FFFFFF" w:themeColor="background1"/>
                <w:sz w:val="18"/>
                <w:lang w:eastAsia="es-MX"/>
              </w:rPr>
            </w:pPr>
            <w:r w:rsidRPr="002150BE">
              <w:rPr>
                <w:rFonts w:asciiTheme="minorHAnsi" w:hAnsiTheme="minorHAnsi" w:cstheme="minorHAnsi"/>
                <w:b/>
                <w:color w:val="FFFFFF" w:themeColor="background1"/>
                <w:sz w:val="18"/>
                <w:lang w:eastAsia="es-MX"/>
              </w:rPr>
              <w:t>Descripción de tipo de población a la que se atiende con el Pp (durante el ejercicio fiscal de la evaluación)</w:t>
            </w:r>
          </w:p>
        </w:tc>
      </w:tr>
      <w:tr w:rsidR="00407C56" w:rsidRPr="002150BE" w14:paraId="46845D1D" w14:textId="77777777" w:rsidTr="001D61BC">
        <w:trPr>
          <w:trHeight w:val="962"/>
        </w:trPr>
        <w:tc>
          <w:tcPr>
            <w:tcW w:w="720" w:type="pct"/>
            <w:shd w:val="clear" w:color="auto" w:fill="F2F2F2" w:themeFill="background1" w:themeFillShade="F2"/>
            <w:vAlign w:val="center"/>
            <w:hideMark/>
          </w:tcPr>
          <w:p w14:paraId="042B5CA7" w14:textId="77777777" w:rsidR="00407C56" w:rsidRPr="002150BE" w:rsidRDefault="00407C56" w:rsidP="00BB4F72">
            <w:pPr>
              <w:spacing w:after="0" w:line="240" w:lineRule="auto"/>
              <w:jc w:val="center"/>
              <w:rPr>
                <w:rFonts w:asciiTheme="minorHAnsi" w:hAnsiTheme="minorHAnsi" w:cstheme="minorHAnsi"/>
                <w:b/>
                <w:color w:val="3A3838"/>
                <w:sz w:val="16"/>
                <w:szCs w:val="16"/>
                <w:lang w:eastAsia="es-MX"/>
              </w:rPr>
            </w:pPr>
            <w:r w:rsidRPr="002150BE">
              <w:rPr>
                <w:rFonts w:asciiTheme="minorHAnsi" w:hAnsiTheme="minorHAnsi" w:cstheme="minorHAnsi"/>
                <w:b/>
                <w:color w:val="3A3838"/>
                <w:sz w:val="16"/>
                <w:szCs w:val="16"/>
                <w:lang w:eastAsia="es-MX"/>
              </w:rPr>
              <w:t>Grupo de población / territorio / medio ambiente</w:t>
            </w:r>
          </w:p>
        </w:tc>
        <w:tc>
          <w:tcPr>
            <w:tcW w:w="1686" w:type="pct"/>
            <w:shd w:val="clear" w:color="auto" w:fill="F2F2F2" w:themeFill="background1" w:themeFillShade="F2"/>
            <w:vAlign w:val="center"/>
            <w:hideMark/>
          </w:tcPr>
          <w:p w14:paraId="0E8E1643" w14:textId="77777777" w:rsidR="00407C56" w:rsidRPr="002150BE" w:rsidRDefault="00407C56" w:rsidP="00BB4F72">
            <w:pPr>
              <w:spacing w:after="0" w:line="240" w:lineRule="auto"/>
              <w:jc w:val="center"/>
              <w:rPr>
                <w:rFonts w:asciiTheme="minorHAnsi" w:hAnsiTheme="minorHAnsi" w:cstheme="minorHAnsi"/>
                <w:b/>
                <w:color w:val="3A3838"/>
                <w:sz w:val="16"/>
                <w:szCs w:val="16"/>
                <w:lang w:eastAsia="es-MX"/>
              </w:rPr>
            </w:pPr>
            <w:r w:rsidRPr="002150BE">
              <w:rPr>
                <w:rFonts w:asciiTheme="minorHAnsi" w:hAnsiTheme="minorHAnsi" w:cstheme="minorHAnsi"/>
                <w:b/>
                <w:sz w:val="18"/>
                <w:lang w:eastAsia="es-MX"/>
              </w:rPr>
              <w:t>Descripción de la Población atendida</w:t>
            </w:r>
          </w:p>
        </w:tc>
        <w:tc>
          <w:tcPr>
            <w:tcW w:w="963" w:type="pct"/>
            <w:shd w:val="clear" w:color="auto" w:fill="F2F2F2" w:themeFill="background1" w:themeFillShade="F2"/>
          </w:tcPr>
          <w:p w14:paraId="7BF8C687" w14:textId="77777777" w:rsidR="00407C56" w:rsidRPr="002150BE" w:rsidRDefault="00407C56" w:rsidP="00606144">
            <w:pPr>
              <w:spacing w:after="0" w:line="240" w:lineRule="auto"/>
              <w:jc w:val="center"/>
              <w:rPr>
                <w:rFonts w:asciiTheme="minorHAnsi" w:hAnsiTheme="minorHAnsi" w:cstheme="minorHAnsi"/>
                <w:b/>
                <w:color w:val="3A3838"/>
                <w:sz w:val="16"/>
                <w:szCs w:val="16"/>
                <w:lang w:eastAsia="es-MX"/>
              </w:rPr>
            </w:pPr>
          </w:p>
          <w:p w14:paraId="11E5201B" w14:textId="77777777" w:rsidR="00407C56" w:rsidRPr="002150BE" w:rsidRDefault="00407C56" w:rsidP="00606144">
            <w:pPr>
              <w:spacing w:after="0" w:line="240" w:lineRule="auto"/>
              <w:jc w:val="center"/>
              <w:rPr>
                <w:rFonts w:asciiTheme="minorHAnsi" w:hAnsiTheme="minorHAnsi" w:cstheme="minorHAnsi"/>
                <w:b/>
                <w:color w:val="3A3838"/>
                <w:sz w:val="16"/>
                <w:szCs w:val="16"/>
                <w:lang w:eastAsia="es-MX"/>
              </w:rPr>
            </w:pPr>
          </w:p>
          <w:p w14:paraId="1E0D776A" w14:textId="77777777" w:rsidR="00407C56" w:rsidRPr="002150BE" w:rsidRDefault="00407C56" w:rsidP="00606144">
            <w:pPr>
              <w:spacing w:after="0" w:line="240" w:lineRule="auto"/>
              <w:jc w:val="center"/>
              <w:rPr>
                <w:rFonts w:asciiTheme="minorHAnsi" w:hAnsiTheme="minorHAnsi" w:cstheme="minorHAnsi"/>
                <w:b/>
                <w:color w:val="3A3838"/>
                <w:sz w:val="16"/>
                <w:szCs w:val="16"/>
                <w:lang w:eastAsia="es-MX"/>
              </w:rPr>
            </w:pPr>
            <w:r w:rsidRPr="002150BE">
              <w:rPr>
                <w:rFonts w:asciiTheme="minorHAnsi" w:hAnsiTheme="minorHAnsi" w:cstheme="minorHAnsi"/>
                <w:b/>
                <w:color w:val="3A3838"/>
                <w:sz w:val="16"/>
                <w:szCs w:val="16"/>
                <w:lang w:eastAsia="es-MX"/>
              </w:rPr>
              <w:t xml:space="preserve">Cantidad </w:t>
            </w:r>
          </w:p>
        </w:tc>
        <w:tc>
          <w:tcPr>
            <w:tcW w:w="562" w:type="pct"/>
            <w:shd w:val="clear" w:color="auto" w:fill="F2F2F2" w:themeFill="background1" w:themeFillShade="F2"/>
            <w:noWrap/>
            <w:vAlign w:val="center"/>
            <w:hideMark/>
          </w:tcPr>
          <w:p w14:paraId="05AADB8D" w14:textId="77777777" w:rsidR="00407C56" w:rsidRPr="002150BE" w:rsidRDefault="00407C56" w:rsidP="00606144">
            <w:pPr>
              <w:spacing w:after="0" w:line="240" w:lineRule="auto"/>
              <w:jc w:val="center"/>
              <w:rPr>
                <w:rFonts w:asciiTheme="minorHAnsi" w:hAnsiTheme="minorHAnsi" w:cstheme="minorHAnsi"/>
                <w:b/>
                <w:color w:val="3A3838"/>
                <w:sz w:val="16"/>
                <w:szCs w:val="16"/>
                <w:lang w:eastAsia="es-MX"/>
              </w:rPr>
            </w:pPr>
            <w:r w:rsidRPr="002150BE">
              <w:rPr>
                <w:rFonts w:asciiTheme="minorHAnsi" w:hAnsiTheme="minorHAnsi" w:cstheme="minorHAnsi"/>
                <w:b/>
                <w:color w:val="3A3838"/>
                <w:sz w:val="16"/>
                <w:szCs w:val="16"/>
                <w:lang w:eastAsia="es-MX"/>
              </w:rPr>
              <w:t xml:space="preserve">Porcentaje de Atención  </w:t>
            </w:r>
          </w:p>
          <w:p w14:paraId="06B572FD" w14:textId="77777777" w:rsidR="00407C56" w:rsidRPr="002150BE" w:rsidRDefault="00407C56" w:rsidP="00606144">
            <w:pPr>
              <w:spacing w:after="0" w:line="240" w:lineRule="auto"/>
              <w:jc w:val="center"/>
              <w:rPr>
                <w:rFonts w:asciiTheme="minorHAnsi" w:hAnsiTheme="minorHAnsi" w:cstheme="minorHAnsi"/>
                <w:b/>
                <w:color w:val="3A3838"/>
                <w:sz w:val="16"/>
                <w:szCs w:val="16"/>
                <w:lang w:eastAsia="es-MX"/>
              </w:rPr>
            </w:pPr>
          </w:p>
        </w:tc>
        <w:tc>
          <w:tcPr>
            <w:tcW w:w="1069" w:type="pct"/>
            <w:shd w:val="clear" w:color="auto" w:fill="F2F2F2" w:themeFill="background1" w:themeFillShade="F2"/>
            <w:noWrap/>
            <w:vAlign w:val="center"/>
            <w:hideMark/>
          </w:tcPr>
          <w:p w14:paraId="7A090150" w14:textId="77777777" w:rsidR="00407C56" w:rsidRPr="002150BE" w:rsidRDefault="00407C56" w:rsidP="00BB4F72">
            <w:pPr>
              <w:spacing w:after="0" w:line="240" w:lineRule="auto"/>
              <w:jc w:val="center"/>
              <w:rPr>
                <w:rFonts w:asciiTheme="minorHAnsi" w:hAnsiTheme="minorHAnsi" w:cstheme="minorHAnsi"/>
                <w:b/>
                <w:color w:val="3A3838"/>
                <w:sz w:val="16"/>
                <w:szCs w:val="16"/>
                <w:lang w:eastAsia="es-MX"/>
              </w:rPr>
            </w:pPr>
            <w:r w:rsidRPr="002150BE">
              <w:rPr>
                <w:rFonts w:asciiTheme="minorHAnsi" w:hAnsiTheme="minorHAnsi" w:cstheme="minorHAnsi"/>
                <w:b/>
                <w:color w:val="3A3838"/>
                <w:sz w:val="16"/>
                <w:szCs w:val="16"/>
                <w:lang w:eastAsia="es-MX"/>
              </w:rPr>
              <w:t>Fuente y año de la información</w:t>
            </w:r>
          </w:p>
        </w:tc>
      </w:tr>
      <w:tr w:rsidR="00407C56" w:rsidRPr="002150BE" w14:paraId="292C4B8E" w14:textId="77777777" w:rsidTr="004E689A">
        <w:trPr>
          <w:trHeight w:val="476"/>
        </w:trPr>
        <w:tc>
          <w:tcPr>
            <w:tcW w:w="720" w:type="pct"/>
            <w:vAlign w:val="center"/>
          </w:tcPr>
          <w:p w14:paraId="5EF4EF89" w14:textId="77777777" w:rsidR="00407C56" w:rsidRPr="002150BE" w:rsidRDefault="00407C56" w:rsidP="004E689A">
            <w:pPr>
              <w:spacing w:after="0" w:line="240" w:lineRule="auto"/>
              <w:jc w:val="center"/>
              <w:rPr>
                <w:rFonts w:asciiTheme="minorHAnsi" w:hAnsiTheme="minorHAnsi" w:cstheme="minorHAnsi"/>
                <w:b/>
                <w:color w:val="3A3838"/>
                <w:sz w:val="16"/>
                <w:szCs w:val="16"/>
                <w:lang w:eastAsia="es-MX"/>
              </w:rPr>
            </w:pPr>
            <w:r w:rsidRPr="002150BE">
              <w:rPr>
                <w:rFonts w:asciiTheme="minorHAnsi" w:hAnsiTheme="minorHAnsi" w:cstheme="minorHAnsi"/>
                <w:b/>
                <w:color w:val="3A3838"/>
                <w:sz w:val="16"/>
                <w:szCs w:val="16"/>
                <w:lang w:eastAsia="es-MX"/>
              </w:rPr>
              <w:t>Población Objetivo (PO)</w:t>
            </w:r>
          </w:p>
        </w:tc>
        <w:tc>
          <w:tcPr>
            <w:tcW w:w="1686" w:type="pct"/>
            <w:vAlign w:val="center"/>
          </w:tcPr>
          <w:p w14:paraId="759637FA" w14:textId="77777777" w:rsidR="00407C56" w:rsidRPr="002150BE" w:rsidRDefault="009B1431" w:rsidP="004E689A">
            <w:pPr>
              <w:spacing w:after="0" w:line="240" w:lineRule="auto"/>
              <w:jc w:val="center"/>
              <w:rPr>
                <w:rFonts w:asciiTheme="minorHAnsi" w:hAnsiTheme="minorHAnsi" w:cstheme="minorHAnsi"/>
                <w:bCs/>
                <w:color w:val="3A3838"/>
                <w:sz w:val="16"/>
                <w:szCs w:val="16"/>
                <w:lang w:eastAsia="es-MX"/>
              </w:rPr>
            </w:pPr>
            <w:r w:rsidRPr="002150BE">
              <w:rPr>
                <w:rFonts w:asciiTheme="minorHAnsi" w:hAnsiTheme="minorHAnsi" w:cstheme="minorHAnsi"/>
                <w:bCs/>
                <w:color w:val="3A3838"/>
                <w:sz w:val="16"/>
                <w:szCs w:val="16"/>
                <w:lang w:eastAsia="es-MX"/>
              </w:rPr>
              <w:t>Habitantes del estado de Sinaloa, egresados de educación media superior en los últimos tres años, residentes principalmente en Culiacán, Navolato, Mocorito, Elota y El Dorado, con interés y condiciones para cursar programas de TSU y Licenciatura/Ingeniería en la UTC.</w:t>
            </w:r>
          </w:p>
        </w:tc>
        <w:tc>
          <w:tcPr>
            <w:tcW w:w="963" w:type="pct"/>
            <w:vAlign w:val="center"/>
          </w:tcPr>
          <w:p w14:paraId="1EEE7087" w14:textId="77777777" w:rsidR="00407C56" w:rsidRPr="002150BE" w:rsidRDefault="009B1431" w:rsidP="004E689A">
            <w:pPr>
              <w:spacing w:after="0" w:line="240" w:lineRule="auto"/>
              <w:jc w:val="center"/>
              <w:rPr>
                <w:rFonts w:asciiTheme="minorHAnsi" w:hAnsiTheme="minorHAnsi" w:cstheme="minorHAnsi"/>
                <w:bCs/>
                <w:color w:val="000000"/>
                <w:sz w:val="16"/>
                <w:szCs w:val="16"/>
                <w:lang w:eastAsia="es-MX"/>
              </w:rPr>
            </w:pPr>
            <w:r w:rsidRPr="002150BE">
              <w:rPr>
                <w:rFonts w:asciiTheme="minorHAnsi" w:hAnsiTheme="minorHAnsi" w:cstheme="minorHAnsi"/>
                <w:bCs/>
                <w:color w:val="000000"/>
                <w:sz w:val="16"/>
                <w:szCs w:val="16"/>
                <w:lang w:eastAsia="es-MX"/>
              </w:rPr>
              <w:t>632 (meta de matrícula para el ciclo escolar 2025–2026; línea base 2024–2025: 577 alumnos)</w:t>
            </w:r>
          </w:p>
        </w:tc>
        <w:tc>
          <w:tcPr>
            <w:tcW w:w="562" w:type="pct"/>
            <w:vAlign w:val="center"/>
          </w:tcPr>
          <w:p w14:paraId="3C5FA483" w14:textId="77777777" w:rsidR="00407C56" w:rsidRPr="002150BE" w:rsidRDefault="004E689A" w:rsidP="004E689A">
            <w:pPr>
              <w:spacing w:after="0" w:line="240" w:lineRule="auto"/>
              <w:jc w:val="center"/>
              <w:rPr>
                <w:rFonts w:asciiTheme="minorHAnsi" w:hAnsiTheme="minorHAnsi" w:cstheme="minorHAnsi"/>
                <w:bCs/>
                <w:sz w:val="16"/>
                <w:szCs w:val="16"/>
                <w:lang w:eastAsia="es-MX"/>
              </w:rPr>
            </w:pPr>
            <w:r w:rsidRPr="002150BE">
              <w:rPr>
                <w:rFonts w:asciiTheme="minorHAnsi" w:hAnsiTheme="minorHAnsi" w:cstheme="minorHAnsi"/>
                <w:bCs/>
                <w:sz w:val="16"/>
                <w:szCs w:val="16"/>
                <w:lang w:eastAsia="es-MX"/>
              </w:rPr>
              <w:t>— (Dato de referencia para cobertura)</w:t>
            </w:r>
          </w:p>
        </w:tc>
        <w:tc>
          <w:tcPr>
            <w:tcW w:w="1069" w:type="pct"/>
            <w:vAlign w:val="center"/>
          </w:tcPr>
          <w:p w14:paraId="3C371BA5" w14:textId="77777777" w:rsidR="00407C56" w:rsidRPr="002150BE" w:rsidRDefault="009B1431" w:rsidP="004E689A">
            <w:pPr>
              <w:spacing w:after="0" w:line="240" w:lineRule="auto"/>
              <w:jc w:val="center"/>
              <w:rPr>
                <w:rFonts w:asciiTheme="minorHAnsi" w:hAnsiTheme="minorHAnsi" w:cstheme="minorHAnsi"/>
                <w:bCs/>
                <w:color w:val="000000"/>
                <w:sz w:val="16"/>
                <w:szCs w:val="16"/>
                <w:lang w:eastAsia="es-MX"/>
              </w:rPr>
            </w:pPr>
            <w:r w:rsidRPr="002150BE">
              <w:rPr>
                <w:rFonts w:asciiTheme="minorHAnsi" w:hAnsiTheme="minorHAnsi" w:cstheme="minorHAnsi"/>
                <w:bCs/>
                <w:color w:val="000000"/>
                <w:sz w:val="16"/>
                <w:szCs w:val="16"/>
                <w:lang w:eastAsia="es-MX"/>
              </w:rPr>
              <w:t>MML/MIR del Pp (PO definida con horizonte 2023–2027, con base en egresados de EMS e información de SEP e INEGI).</w:t>
            </w:r>
          </w:p>
        </w:tc>
      </w:tr>
      <w:tr w:rsidR="00407C56" w:rsidRPr="002150BE" w14:paraId="69EBBA0B" w14:textId="77777777" w:rsidTr="004E689A">
        <w:trPr>
          <w:trHeight w:val="476"/>
        </w:trPr>
        <w:tc>
          <w:tcPr>
            <w:tcW w:w="720" w:type="pct"/>
            <w:vAlign w:val="center"/>
          </w:tcPr>
          <w:p w14:paraId="235B4C6C" w14:textId="77777777" w:rsidR="00407C56" w:rsidRPr="002150BE" w:rsidRDefault="00407C56" w:rsidP="004E689A">
            <w:pPr>
              <w:spacing w:after="0" w:line="240" w:lineRule="auto"/>
              <w:jc w:val="center"/>
              <w:rPr>
                <w:rFonts w:asciiTheme="minorHAnsi" w:hAnsiTheme="minorHAnsi" w:cstheme="minorHAnsi"/>
                <w:b/>
                <w:color w:val="3A3838"/>
                <w:sz w:val="16"/>
                <w:szCs w:val="16"/>
                <w:lang w:eastAsia="es-MX"/>
              </w:rPr>
            </w:pPr>
            <w:r w:rsidRPr="002150BE">
              <w:rPr>
                <w:rFonts w:asciiTheme="minorHAnsi" w:hAnsiTheme="minorHAnsi" w:cstheme="minorHAnsi"/>
                <w:b/>
                <w:color w:val="3A3838"/>
                <w:sz w:val="16"/>
                <w:szCs w:val="16"/>
                <w:lang w:eastAsia="es-MX"/>
              </w:rPr>
              <w:t>Población Atendida (PA) o Área de Enfoque Atendida(AE)</w:t>
            </w:r>
          </w:p>
        </w:tc>
        <w:tc>
          <w:tcPr>
            <w:tcW w:w="1686" w:type="pct"/>
            <w:vAlign w:val="center"/>
          </w:tcPr>
          <w:p w14:paraId="008F89CE" w14:textId="77777777" w:rsidR="00407C56" w:rsidRPr="002150BE" w:rsidRDefault="009B1431" w:rsidP="004E689A">
            <w:pPr>
              <w:spacing w:after="0" w:line="240" w:lineRule="auto"/>
              <w:jc w:val="center"/>
              <w:rPr>
                <w:rFonts w:asciiTheme="minorHAnsi" w:hAnsiTheme="minorHAnsi" w:cstheme="minorHAnsi"/>
                <w:bCs/>
                <w:color w:val="3A3838"/>
                <w:sz w:val="16"/>
                <w:szCs w:val="16"/>
                <w:lang w:eastAsia="es-MX"/>
              </w:rPr>
            </w:pPr>
            <w:r w:rsidRPr="002150BE">
              <w:rPr>
                <w:rFonts w:asciiTheme="minorHAnsi" w:hAnsiTheme="minorHAnsi" w:cstheme="minorHAnsi"/>
                <w:bCs/>
                <w:color w:val="3A3838"/>
                <w:sz w:val="16"/>
                <w:szCs w:val="16"/>
                <w:lang w:eastAsia="es-MX"/>
              </w:rPr>
              <w:t>Estudiantes efectivamente matriculados en los programas de TSU y Licenciatura/Ingeniería de la UTC al inicio del ciclo 2024–2025 (matrícula oficial global).</w:t>
            </w:r>
          </w:p>
        </w:tc>
        <w:tc>
          <w:tcPr>
            <w:tcW w:w="963" w:type="pct"/>
            <w:vAlign w:val="center"/>
          </w:tcPr>
          <w:p w14:paraId="1DA64AA7" w14:textId="77777777" w:rsidR="00407C56" w:rsidRPr="002150BE" w:rsidRDefault="001D61BC" w:rsidP="004E689A">
            <w:pPr>
              <w:spacing w:after="0" w:line="240" w:lineRule="auto"/>
              <w:jc w:val="center"/>
              <w:rPr>
                <w:rFonts w:asciiTheme="minorHAnsi" w:hAnsiTheme="minorHAnsi" w:cstheme="minorHAnsi"/>
                <w:bCs/>
                <w:color w:val="3A3838"/>
                <w:sz w:val="16"/>
                <w:szCs w:val="16"/>
                <w:lang w:eastAsia="es-MX"/>
              </w:rPr>
            </w:pPr>
            <w:r w:rsidRPr="002150BE">
              <w:rPr>
                <w:rFonts w:asciiTheme="minorHAnsi" w:hAnsiTheme="minorHAnsi" w:cstheme="minorHAnsi"/>
                <w:bCs/>
                <w:color w:val="3A3838"/>
                <w:sz w:val="16"/>
                <w:szCs w:val="16"/>
                <w:lang w:eastAsia="es-MX"/>
              </w:rPr>
              <w:t>577</w:t>
            </w:r>
          </w:p>
        </w:tc>
        <w:tc>
          <w:tcPr>
            <w:tcW w:w="562" w:type="pct"/>
            <w:vAlign w:val="center"/>
          </w:tcPr>
          <w:p w14:paraId="0F8A9F98" w14:textId="77777777" w:rsidR="00407C56" w:rsidRPr="002150BE" w:rsidRDefault="004E689A" w:rsidP="004E689A">
            <w:pPr>
              <w:spacing w:after="0" w:line="240" w:lineRule="auto"/>
              <w:jc w:val="center"/>
              <w:rPr>
                <w:rFonts w:asciiTheme="minorHAnsi" w:hAnsiTheme="minorHAnsi" w:cstheme="minorHAnsi"/>
                <w:bCs/>
                <w:sz w:val="16"/>
                <w:szCs w:val="16"/>
                <w:lang w:val="pt-PT" w:eastAsia="es-MX"/>
              </w:rPr>
            </w:pPr>
            <w:r w:rsidRPr="002150BE">
              <w:rPr>
                <w:rFonts w:asciiTheme="minorHAnsi" w:hAnsiTheme="minorHAnsi" w:cstheme="minorHAnsi"/>
                <w:bCs/>
                <w:sz w:val="16"/>
                <w:szCs w:val="16"/>
                <w:lang w:val="pt-PT" w:eastAsia="es-MX"/>
              </w:rPr>
              <w:t>91.3% (PA/PO = 577/632)</w:t>
            </w:r>
          </w:p>
        </w:tc>
        <w:tc>
          <w:tcPr>
            <w:tcW w:w="1069" w:type="pct"/>
            <w:vAlign w:val="center"/>
          </w:tcPr>
          <w:p w14:paraId="54194EAA" w14:textId="77777777" w:rsidR="00407C56" w:rsidRPr="002150BE" w:rsidRDefault="004E689A" w:rsidP="004E689A">
            <w:pPr>
              <w:spacing w:after="0" w:line="240" w:lineRule="auto"/>
              <w:jc w:val="center"/>
              <w:rPr>
                <w:rFonts w:asciiTheme="minorHAnsi" w:hAnsiTheme="minorHAnsi" w:cstheme="minorHAnsi"/>
                <w:bCs/>
                <w:color w:val="000000"/>
                <w:sz w:val="16"/>
                <w:szCs w:val="16"/>
                <w:lang w:eastAsia="es-MX"/>
              </w:rPr>
            </w:pPr>
            <w:r w:rsidRPr="002150BE">
              <w:rPr>
                <w:rFonts w:asciiTheme="minorHAnsi" w:hAnsiTheme="minorHAnsi" w:cstheme="minorHAnsi"/>
                <w:bCs/>
                <w:color w:val="000000"/>
                <w:sz w:val="16"/>
                <w:szCs w:val="16"/>
                <w:lang w:eastAsia="es-MX"/>
              </w:rPr>
              <w:t>Informe de Actividades Sustantivas julio–septiembre 2024, Tabla “Matrícula por programa educativo y género, inicio cuatrimestre septiembre–diciembre 2024” (577 alumnos).</w:t>
            </w:r>
          </w:p>
        </w:tc>
      </w:tr>
      <w:tr w:rsidR="00407C56" w:rsidRPr="002150BE" w14:paraId="329DCB8B" w14:textId="77777777" w:rsidTr="004E689A">
        <w:trPr>
          <w:trHeight w:val="567"/>
        </w:trPr>
        <w:tc>
          <w:tcPr>
            <w:tcW w:w="720" w:type="pct"/>
            <w:shd w:val="clear" w:color="auto" w:fill="FFFFFF" w:themeFill="background1"/>
            <w:vAlign w:val="center"/>
            <w:hideMark/>
          </w:tcPr>
          <w:p w14:paraId="134D17E8" w14:textId="77777777" w:rsidR="00407C56" w:rsidRPr="002150BE" w:rsidRDefault="00407C56" w:rsidP="004E689A">
            <w:pPr>
              <w:spacing w:after="0" w:line="240" w:lineRule="auto"/>
              <w:jc w:val="center"/>
              <w:rPr>
                <w:rFonts w:asciiTheme="minorHAnsi" w:hAnsiTheme="minorHAnsi" w:cstheme="minorHAnsi"/>
                <w:color w:val="3A3838"/>
                <w:sz w:val="16"/>
                <w:szCs w:val="16"/>
                <w:lang w:eastAsia="es-MX"/>
              </w:rPr>
            </w:pPr>
            <w:r w:rsidRPr="002150BE">
              <w:rPr>
                <w:rFonts w:asciiTheme="minorHAnsi" w:hAnsiTheme="minorHAnsi" w:cstheme="minorHAnsi"/>
                <w:color w:val="3A3838"/>
                <w:sz w:val="16"/>
                <w:szCs w:val="16"/>
                <w:lang w:eastAsia="es-MX"/>
              </w:rPr>
              <w:t>Mujeres (M)</w:t>
            </w:r>
          </w:p>
        </w:tc>
        <w:tc>
          <w:tcPr>
            <w:tcW w:w="1686" w:type="pct"/>
            <w:vAlign w:val="center"/>
            <w:hideMark/>
          </w:tcPr>
          <w:p w14:paraId="0F9AE5F1" w14:textId="77777777" w:rsidR="00407C56" w:rsidRPr="002150BE" w:rsidRDefault="00250774" w:rsidP="004E689A">
            <w:pPr>
              <w:spacing w:after="0" w:line="240" w:lineRule="auto"/>
              <w:jc w:val="center"/>
              <w:rPr>
                <w:rFonts w:asciiTheme="minorHAnsi" w:hAnsiTheme="minorHAnsi" w:cstheme="minorHAnsi"/>
                <w:bCs/>
                <w:color w:val="3A3838"/>
                <w:sz w:val="16"/>
                <w:szCs w:val="16"/>
                <w:lang w:eastAsia="es-MX"/>
              </w:rPr>
            </w:pPr>
            <w:r w:rsidRPr="002150BE">
              <w:rPr>
                <w:rFonts w:asciiTheme="minorHAnsi" w:hAnsiTheme="minorHAnsi" w:cstheme="minorHAnsi"/>
                <w:bCs/>
                <w:color w:val="3A3838"/>
                <w:sz w:val="16"/>
                <w:szCs w:val="16"/>
                <w:lang w:eastAsia="es-MX"/>
              </w:rPr>
              <w:t>Estudiantes mujeres matriculadas en programas de TSU y Licenciatura/Ingeniería de la UTC, en todas las áreas del conocimiento.</w:t>
            </w:r>
          </w:p>
        </w:tc>
        <w:tc>
          <w:tcPr>
            <w:tcW w:w="963" w:type="pct"/>
            <w:vAlign w:val="center"/>
          </w:tcPr>
          <w:p w14:paraId="44740D0B" w14:textId="77777777" w:rsidR="00407C56" w:rsidRPr="002150BE" w:rsidRDefault="001D61BC" w:rsidP="004E689A">
            <w:pPr>
              <w:spacing w:after="0" w:line="240" w:lineRule="auto"/>
              <w:jc w:val="center"/>
              <w:rPr>
                <w:rFonts w:asciiTheme="minorHAnsi" w:hAnsiTheme="minorHAnsi" w:cstheme="minorHAnsi"/>
                <w:bCs/>
                <w:color w:val="3A3838"/>
                <w:sz w:val="16"/>
                <w:szCs w:val="16"/>
                <w:highlight w:val="yellow"/>
                <w:lang w:eastAsia="es-MX"/>
              </w:rPr>
            </w:pPr>
            <w:r w:rsidRPr="002150BE">
              <w:rPr>
                <w:rFonts w:asciiTheme="minorHAnsi" w:hAnsiTheme="minorHAnsi" w:cstheme="minorHAnsi"/>
                <w:bCs/>
                <w:color w:val="3A3838"/>
                <w:sz w:val="16"/>
                <w:szCs w:val="16"/>
                <w:lang w:eastAsia="es-MX"/>
              </w:rPr>
              <w:t>105</w:t>
            </w:r>
          </w:p>
        </w:tc>
        <w:tc>
          <w:tcPr>
            <w:tcW w:w="562" w:type="pct"/>
            <w:vAlign w:val="center"/>
            <w:hideMark/>
          </w:tcPr>
          <w:p w14:paraId="33252534" w14:textId="77777777" w:rsidR="00407C56" w:rsidRPr="002150BE" w:rsidRDefault="004E689A" w:rsidP="004E689A">
            <w:pPr>
              <w:spacing w:after="0" w:line="240" w:lineRule="auto"/>
              <w:jc w:val="center"/>
              <w:rPr>
                <w:rFonts w:asciiTheme="minorHAnsi" w:hAnsiTheme="minorHAnsi" w:cstheme="minorHAnsi"/>
                <w:bCs/>
                <w:sz w:val="16"/>
                <w:szCs w:val="16"/>
                <w:lang w:eastAsia="es-MX"/>
              </w:rPr>
            </w:pPr>
            <w:r w:rsidRPr="002150BE">
              <w:rPr>
                <w:rFonts w:asciiTheme="minorHAnsi" w:hAnsiTheme="minorHAnsi" w:cstheme="minorHAnsi"/>
                <w:bCs/>
                <w:sz w:val="16"/>
                <w:szCs w:val="16"/>
                <w:lang w:eastAsia="es-MX"/>
              </w:rPr>
              <w:t>18.2% de la PA (105/577)</w:t>
            </w:r>
          </w:p>
        </w:tc>
        <w:tc>
          <w:tcPr>
            <w:tcW w:w="1069" w:type="pct"/>
            <w:vAlign w:val="center"/>
            <w:hideMark/>
          </w:tcPr>
          <w:p w14:paraId="33111D4C" w14:textId="77777777" w:rsidR="00407C56" w:rsidRPr="002150BE" w:rsidRDefault="004E689A" w:rsidP="004E689A">
            <w:pPr>
              <w:spacing w:after="0" w:line="240" w:lineRule="auto"/>
              <w:jc w:val="center"/>
              <w:rPr>
                <w:rFonts w:asciiTheme="minorHAnsi" w:hAnsiTheme="minorHAnsi" w:cstheme="minorHAnsi"/>
                <w:bCs/>
                <w:color w:val="3A3838"/>
                <w:sz w:val="16"/>
                <w:szCs w:val="16"/>
                <w:lang w:eastAsia="es-MX"/>
              </w:rPr>
            </w:pPr>
            <w:r w:rsidRPr="002150BE">
              <w:rPr>
                <w:rFonts w:asciiTheme="minorHAnsi" w:hAnsiTheme="minorHAnsi" w:cstheme="minorHAnsi"/>
                <w:bCs/>
                <w:color w:val="3A3838"/>
                <w:sz w:val="16"/>
                <w:szCs w:val="16"/>
                <w:lang w:eastAsia="es-MX"/>
              </w:rPr>
              <w:t>Informe de Actividades Sustantivas julio–septiembre 2024, Tabla 3 (472 hombres, 105 mujeres, 577 total; texto que señala 18.2% de participación femenina).</w:t>
            </w:r>
          </w:p>
        </w:tc>
      </w:tr>
      <w:tr w:rsidR="00407C56" w:rsidRPr="002150BE" w14:paraId="3DBDC3DA" w14:textId="77777777" w:rsidTr="004E689A">
        <w:trPr>
          <w:trHeight w:val="567"/>
        </w:trPr>
        <w:tc>
          <w:tcPr>
            <w:tcW w:w="720" w:type="pct"/>
            <w:shd w:val="clear" w:color="auto" w:fill="FFFFFF" w:themeFill="background1"/>
            <w:vAlign w:val="center"/>
            <w:hideMark/>
          </w:tcPr>
          <w:p w14:paraId="6A9672A7" w14:textId="77777777" w:rsidR="00407C56" w:rsidRPr="002150BE" w:rsidRDefault="00407C56" w:rsidP="004E689A">
            <w:pPr>
              <w:spacing w:after="0" w:line="240" w:lineRule="auto"/>
              <w:jc w:val="center"/>
              <w:rPr>
                <w:rFonts w:asciiTheme="minorHAnsi" w:hAnsiTheme="minorHAnsi" w:cstheme="minorHAnsi"/>
                <w:color w:val="3A3838"/>
                <w:sz w:val="16"/>
                <w:szCs w:val="16"/>
                <w:lang w:eastAsia="es-MX"/>
              </w:rPr>
            </w:pPr>
            <w:r w:rsidRPr="002150BE">
              <w:rPr>
                <w:rFonts w:asciiTheme="minorHAnsi" w:hAnsiTheme="minorHAnsi" w:cstheme="minorHAnsi"/>
                <w:color w:val="3A3838"/>
                <w:sz w:val="16"/>
                <w:szCs w:val="16"/>
                <w:lang w:eastAsia="es-MX"/>
              </w:rPr>
              <w:t>Niñas, niños y adolescentes (NNA)</w:t>
            </w:r>
          </w:p>
        </w:tc>
        <w:tc>
          <w:tcPr>
            <w:tcW w:w="1686" w:type="pct"/>
            <w:vAlign w:val="center"/>
            <w:hideMark/>
          </w:tcPr>
          <w:p w14:paraId="28B964BC" w14:textId="77777777" w:rsidR="00407C56" w:rsidRPr="002150BE" w:rsidRDefault="00F550CD" w:rsidP="004E689A">
            <w:pPr>
              <w:spacing w:after="0" w:line="240" w:lineRule="auto"/>
              <w:jc w:val="center"/>
              <w:rPr>
                <w:rFonts w:asciiTheme="minorHAnsi" w:hAnsiTheme="minorHAnsi" w:cstheme="minorHAnsi"/>
                <w:bCs/>
                <w:sz w:val="16"/>
                <w:szCs w:val="16"/>
                <w:lang w:eastAsia="es-MX"/>
              </w:rPr>
            </w:pPr>
            <w:r w:rsidRPr="002150BE">
              <w:rPr>
                <w:rFonts w:asciiTheme="minorHAnsi" w:hAnsiTheme="minorHAnsi" w:cstheme="minorHAnsi"/>
                <w:bCs/>
                <w:sz w:val="16"/>
                <w:szCs w:val="16"/>
                <w:lang w:eastAsia="es-MX"/>
              </w:rPr>
              <w:t>Estudiantes menores de 18 años matriculados en la UTC. En el ciclo 2024–2025 no se registran estudiantes en este rango de edad, ya que la totalidad de la matrícula se encuentra a partir de los 18 años. La edad se capta en el proceso de inscripción y se integra al sistema de control escolar y al reporte 911, pero para este grupo específico el valor es cero.</w:t>
            </w:r>
          </w:p>
        </w:tc>
        <w:tc>
          <w:tcPr>
            <w:tcW w:w="963" w:type="pct"/>
            <w:vAlign w:val="center"/>
          </w:tcPr>
          <w:p w14:paraId="6B5A41A2" w14:textId="77777777" w:rsidR="00407C56" w:rsidRPr="002150BE" w:rsidRDefault="00F550CD" w:rsidP="004E689A">
            <w:pPr>
              <w:spacing w:after="0" w:line="240" w:lineRule="auto"/>
              <w:jc w:val="center"/>
              <w:rPr>
                <w:rFonts w:asciiTheme="minorHAnsi" w:hAnsiTheme="minorHAnsi" w:cstheme="minorHAnsi"/>
                <w:bCs/>
                <w:color w:val="3A3838"/>
                <w:sz w:val="16"/>
                <w:szCs w:val="16"/>
                <w:highlight w:val="yellow"/>
                <w:lang w:eastAsia="es-MX"/>
              </w:rPr>
            </w:pPr>
            <w:r w:rsidRPr="002150BE">
              <w:rPr>
                <w:rFonts w:asciiTheme="minorHAnsi" w:hAnsiTheme="minorHAnsi" w:cstheme="minorHAnsi"/>
                <w:bCs/>
                <w:color w:val="3A3838"/>
                <w:sz w:val="16"/>
                <w:szCs w:val="16"/>
                <w:lang w:eastAsia="es-MX"/>
              </w:rPr>
              <w:t>0 estudiantes (matrícula 2024–2025).</w:t>
            </w:r>
          </w:p>
        </w:tc>
        <w:tc>
          <w:tcPr>
            <w:tcW w:w="562" w:type="pct"/>
            <w:vAlign w:val="center"/>
            <w:hideMark/>
          </w:tcPr>
          <w:p w14:paraId="0094CCAE" w14:textId="77777777" w:rsidR="00407C56" w:rsidRPr="002150BE" w:rsidRDefault="004E689A" w:rsidP="004E689A">
            <w:pPr>
              <w:spacing w:after="0" w:line="240" w:lineRule="auto"/>
              <w:jc w:val="center"/>
              <w:rPr>
                <w:rFonts w:asciiTheme="minorHAnsi" w:hAnsiTheme="minorHAnsi" w:cstheme="minorHAnsi"/>
                <w:color w:val="EE0000"/>
                <w:sz w:val="16"/>
                <w:szCs w:val="16"/>
                <w:lang w:eastAsia="es-MX"/>
              </w:rPr>
            </w:pPr>
            <w:r w:rsidRPr="002150BE">
              <w:rPr>
                <w:rFonts w:asciiTheme="minorHAnsi" w:hAnsiTheme="minorHAnsi" w:cstheme="minorHAnsi"/>
                <w:bCs/>
                <w:color w:val="3A3838"/>
                <w:sz w:val="16"/>
                <w:szCs w:val="16"/>
                <w:lang w:eastAsia="es-MX"/>
              </w:rPr>
              <w:t>NA.</w:t>
            </w:r>
          </w:p>
        </w:tc>
        <w:tc>
          <w:tcPr>
            <w:tcW w:w="1069" w:type="pct"/>
            <w:vAlign w:val="center"/>
            <w:hideMark/>
          </w:tcPr>
          <w:p w14:paraId="677CE72E" w14:textId="77777777" w:rsidR="00407C56" w:rsidRPr="002150BE" w:rsidRDefault="001D61BC" w:rsidP="004E689A">
            <w:pPr>
              <w:spacing w:after="0" w:line="240" w:lineRule="auto"/>
              <w:jc w:val="center"/>
              <w:rPr>
                <w:rFonts w:asciiTheme="minorHAnsi" w:hAnsiTheme="minorHAnsi" w:cstheme="minorHAnsi"/>
                <w:bCs/>
                <w:color w:val="3A3838"/>
                <w:sz w:val="16"/>
                <w:szCs w:val="16"/>
                <w:lang w:eastAsia="es-MX"/>
              </w:rPr>
            </w:pPr>
            <w:r w:rsidRPr="002150BE">
              <w:rPr>
                <w:rFonts w:asciiTheme="minorHAnsi" w:hAnsiTheme="minorHAnsi" w:cstheme="minorHAnsi"/>
                <w:bCs/>
                <w:color w:val="3A3838"/>
                <w:sz w:val="16"/>
                <w:szCs w:val="16"/>
                <w:lang w:eastAsia="es-MX"/>
              </w:rPr>
              <w:t>Sistema de Control Escolar 2024–2025 y formato estadístico 911.</w:t>
            </w:r>
          </w:p>
        </w:tc>
      </w:tr>
      <w:tr w:rsidR="004E689A" w:rsidRPr="002150BE" w14:paraId="45EDA848" w14:textId="77777777" w:rsidTr="004E689A">
        <w:trPr>
          <w:trHeight w:val="567"/>
        </w:trPr>
        <w:tc>
          <w:tcPr>
            <w:tcW w:w="720" w:type="pct"/>
            <w:shd w:val="clear" w:color="auto" w:fill="FFFFFF" w:themeFill="background1"/>
            <w:vAlign w:val="center"/>
            <w:hideMark/>
          </w:tcPr>
          <w:p w14:paraId="340F55F7" w14:textId="77777777" w:rsidR="004E689A" w:rsidRPr="002150BE" w:rsidRDefault="004E689A" w:rsidP="004E689A">
            <w:pPr>
              <w:spacing w:after="0" w:line="240" w:lineRule="auto"/>
              <w:jc w:val="center"/>
              <w:rPr>
                <w:rFonts w:asciiTheme="minorHAnsi" w:hAnsiTheme="minorHAnsi" w:cstheme="minorHAnsi"/>
                <w:color w:val="3A3838"/>
                <w:sz w:val="16"/>
                <w:szCs w:val="16"/>
                <w:lang w:eastAsia="es-MX"/>
              </w:rPr>
            </w:pPr>
            <w:r w:rsidRPr="002150BE">
              <w:rPr>
                <w:rFonts w:asciiTheme="minorHAnsi" w:hAnsiTheme="minorHAnsi" w:cstheme="minorHAnsi"/>
                <w:color w:val="3A3838"/>
                <w:sz w:val="16"/>
                <w:szCs w:val="16"/>
                <w:lang w:eastAsia="es-MX"/>
              </w:rPr>
              <w:t>Jóvenes (J) (15 a 29 años)</w:t>
            </w:r>
          </w:p>
        </w:tc>
        <w:tc>
          <w:tcPr>
            <w:tcW w:w="1686" w:type="pct"/>
            <w:vAlign w:val="center"/>
            <w:hideMark/>
          </w:tcPr>
          <w:p w14:paraId="4B61C16B" w14:textId="77777777" w:rsidR="004E689A" w:rsidRPr="002150BE" w:rsidRDefault="004E689A" w:rsidP="004E689A">
            <w:pPr>
              <w:spacing w:after="0" w:line="240" w:lineRule="auto"/>
              <w:jc w:val="center"/>
              <w:rPr>
                <w:rFonts w:asciiTheme="minorHAnsi" w:hAnsiTheme="minorHAnsi" w:cstheme="minorHAnsi"/>
                <w:bCs/>
                <w:sz w:val="16"/>
                <w:szCs w:val="16"/>
                <w:lang w:eastAsia="es-MX"/>
              </w:rPr>
            </w:pPr>
            <w:r w:rsidRPr="002150BE">
              <w:rPr>
                <w:rFonts w:asciiTheme="minorHAnsi" w:hAnsiTheme="minorHAnsi" w:cstheme="minorHAnsi"/>
                <w:bCs/>
                <w:sz w:val="16"/>
                <w:szCs w:val="16"/>
                <w:lang w:eastAsia="es-MX"/>
              </w:rPr>
              <w:t>Jóvenes que cursan TSU o Licenciatura/Ingeniería en la UTC. La edad se registra en el sistema de control escolar y se reporta en el formato 911, y la mayor parte de la matrícula se concentra en este rango etario. No obstante, en los insumos utilizados para esta evaluación no se contó con un desglose estadístico específico por edad, por lo que el número total de este subconjunto no se presenta de manera desagregada.</w:t>
            </w:r>
          </w:p>
        </w:tc>
        <w:tc>
          <w:tcPr>
            <w:tcW w:w="963" w:type="pct"/>
            <w:vAlign w:val="center"/>
          </w:tcPr>
          <w:p w14:paraId="0045F3CD" w14:textId="77777777" w:rsidR="004E689A" w:rsidRPr="002150BE" w:rsidRDefault="004E689A" w:rsidP="004E689A">
            <w:pPr>
              <w:spacing w:after="0" w:line="240" w:lineRule="auto"/>
              <w:jc w:val="center"/>
              <w:rPr>
                <w:rFonts w:asciiTheme="minorHAnsi" w:hAnsiTheme="minorHAnsi" w:cstheme="minorHAnsi"/>
                <w:bCs/>
                <w:color w:val="3A3838"/>
                <w:sz w:val="16"/>
                <w:szCs w:val="16"/>
                <w:highlight w:val="yellow"/>
                <w:lang w:eastAsia="es-MX"/>
              </w:rPr>
            </w:pPr>
            <w:r w:rsidRPr="002150BE">
              <w:rPr>
                <w:rFonts w:asciiTheme="minorHAnsi" w:hAnsiTheme="minorHAnsi" w:cstheme="minorHAnsi"/>
                <w:bCs/>
                <w:color w:val="000000"/>
                <w:sz w:val="16"/>
                <w:szCs w:val="16"/>
                <w:lang w:eastAsia="es-MX"/>
              </w:rPr>
              <w:t>632 (meta de matrícula para el ciclo escolar 2025–2026; línea base 2024–2025: 577 alumnos)</w:t>
            </w:r>
          </w:p>
        </w:tc>
        <w:tc>
          <w:tcPr>
            <w:tcW w:w="562" w:type="pct"/>
            <w:vAlign w:val="center"/>
            <w:hideMark/>
          </w:tcPr>
          <w:p w14:paraId="16A6AF5B" w14:textId="77777777" w:rsidR="004E689A" w:rsidRPr="002150BE" w:rsidRDefault="004E689A" w:rsidP="004E689A">
            <w:pPr>
              <w:spacing w:after="0" w:line="240" w:lineRule="auto"/>
              <w:jc w:val="center"/>
              <w:rPr>
                <w:rFonts w:asciiTheme="minorHAnsi" w:hAnsiTheme="minorHAnsi" w:cstheme="minorHAnsi"/>
                <w:color w:val="EE0000"/>
                <w:sz w:val="16"/>
                <w:szCs w:val="16"/>
                <w:lang w:eastAsia="es-MX"/>
              </w:rPr>
            </w:pPr>
            <w:r w:rsidRPr="002150BE">
              <w:rPr>
                <w:rFonts w:asciiTheme="minorHAnsi" w:hAnsiTheme="minorHAnsi" w:cstheme="minorHAnsi"/>
                <w:bCs/>
                <w:sz w:val="16"/>
                <w:szCs w:val="16"/>
                <w:lang w:eastAsia="es-MX"/>
              </w:rPr>
              <w:t>— (Dato de referencia para cobertura)</w:t>
            </w:r>
          </w:p>
        </w:tc>
        <w:tc>
          <w:tcPr>
            <w:tcW w:w="1069" w:type="pct"/>
            <w:vAlign w:val="center"/>
            <w:hideMark/>
          </w:tcPr>
          <w:p w14:paraId="13A1EC29" w14:textId="77777777" w:rsidR="004E689A" w:rsidRPr="002150BE" w:rsidRDefault="004E689A" w:rsidP="004E689A">
            <w:pPr>
              <w:spacing w:after="0" w:line="240" w:lineRule="auto"/>
              <w:jc w:val="center"/>
              <w:rPr>
                <w:rFonts w:asciiTheme="minorHAnsi" w:hAnsiTheme="minorHAnsi" w:cstheme="minorHAnsi"/>
                <w:bCs/>
                <w:color w:val="3A3838"/>
                <w:sz w:val="16"/>
                <w:szCs w:val="16"/>
                <w:lang w:eastAsia="es-MX"/>
              </w:rPr>
            </w:pPr>
            <w:r w:rsidRPr="002150BE">
              <w:rPr>
                <w:rFonts w:asciiTheme="minorHAnsi" w:hAnsiTheme="minorHAnsi" w:cstheme="minorHAnsi"/>
                <w:bCs/>
                <w:color w:val="3A3838"/>
                <w:sz w:val="16"/>
                <w:szCs w:val="16"/>
                <w:lang w:eastAsia="es-MX"/>
              </w:rPr>
              <w:t>Sistema de Control Escolar y formato 911; información etaria disponible, pero no sistematizada de forma específica en la MIR de esta evaluación.</w:t>
            </w:r>
          </w:p>
        </w:tc>
      </w:tr>
      <w:tr w:rsidR="004E689A" w:rsidRPr="002150BE" w14:paraId="58616469" w14:textId="77777777" w:rsidTr="004E689A">
        <w:trPr>
          <w:trHeight w:val="567"/>
        </w:trPr>
        <w:tc>
          <w:tcPr>
            <w:tcW w:w="720" w:type="pct"/>
            <w:shd w:val="clear" w:color="auto" w:fill="FFFFFF" w:themeFill="background1"/>
            <w:vAlign w:val="center"/>
            <w:hideMark/>
          </w:tcPr>
          <w:p w14:paraId="495DB7D1" w14:textId="77777777" w:rsidR="004E689A" w:rsidRPr="002150BE" w:rsidRDefault="004E689A" w:rsidP="004E689A">
            <w:pPr>
              <w:spacing w:after="0" w:line="240" w:lineRule="auto"/>
              <w:jc w:val="center"/>
              <w:rPr>
                <w:rFonts w:asciiTheme="minorHAnsi" w:hAnsiTheme="minorHAnsi" w:cstheme="minorHAnsi"/>
                <w:color w:val="3A3838"/>
                <w:sz w:val="16"/>
                <w:szCs w:val="16"/>
                <w:lang w:eastAsia="es-MX"/>
              </w:rPr>
            </w:pPr>
            <w:r w:rsidRPr="002150BE">
              <w:rPr>
                <w:rFonts w:asciiTheme="minorHAnsi" w:hAnsiTheme="minorHAnsi" w:cstheme="minorHAnsi"/>
                <w:color w:val="3A3838"/>
                <w:sz w:val="16"/>
                <w:szCs w:val="16"/>
                <w:lang w:eastAsia="es-MX"/>
              </w:rPr>
              <w:t>Personas adultas mayores (PAM) (mayores de 65 años)</w:t>
            </w:r>
          </w:p>
        </w:tc>
        <w:tc>
          <w:tcPr>
            <w:tcW w:w="1686" w:type="pct"/>
            <w:vAlign w:val="center"/>
            <w:hideMark/>
          </w:tcPr>
          <w:p w14:paraId="2B619AED" w14:textId="77777777" w:rsidR="004E689A" w:rsidRPr="002150BE" w:rsidRDefault="004E689A" w:rsidP="004E689A">
            <w:pPr>
              <w:spacing w:after="0" w:line="240" w:lineRule="auto"/>
              <w:jc w:val="center"/>
              <w:rPr>
                <w:rFonts w:asciiTheme="minorHAnsi" w:hAnsiTheme="minorHAnsi" w:cstheme="minorHAnsi"/>
                <w:bCs/>
                <w:color w:val="EE0000"/>
                <w:sz w:val="16"/>
                <w:szCs w:val="16"/>
                <w:lang w:eastAsia="es-MX"/>
              </w:rPr>
            </w:pPr>
            <w:r w:rsidRPr="002150BE">
              <w:rPr>
                <w:rFonts w:asciiTheme="minorHAnsi" w:hAnsiTheme="minorHAnsi" w:cstheme="minorHAnsi"/>
                <w:bCs/>
                <w:sz w:val="16"/>
                <w:szCs w:val="16"/>
                <w:lang w:eastAsia="es-MX"/>
              </w:rPr>
              <w:t>Personas de 65 años y más que cursan programas de TSU o Licenciatura/Ingeniería. Aunque la edad se registra en el sistema de control escolar y se integra al formato 911, para el ciclo 2024–2025 no se cuenta con estudiantes en este grupo de edad, por lo que su presencia es nula.</w:t>
            </w:r>
          </w:p>
        </w:tc>
        <w:tc>
          <w:tcPr>
            <w:tcW w:w="963" w:type="pct"/>
            <w:vAlign w:val="center"/>
          </w:tcPr>
          <w:p w14:paraId="5A81534F" w14:textId="77777777" w:rsidR="004E689A" w:rsidRPr="002150BE" w:rsidRDefault="004E689A" w:rsidP="004E689A">
            <w:pPr>
              <w:spacing w:after="0" w:line="240" w:lineRule="auto"/>
              <w:jc w:val="center"/>
              <w:rPr>
                <w:rFonts w:asciiTheme="minorHAnsi" w:hAnsiTheme="minorHAnsi" w:cstheme="minorHAnsi"/>
                <w:bCs/>
                <w:color w:val="3A3838"/>
                <w:sz w:val="16"/>
                <w:szCs w:val="16"/>
                <w:highlight w:val="yellow"/>
                <w:lang w:eastAsia="es-MX"/>
              </w:rPr>
            </w:pPr>
            <w:r w:rsidRPr="002150BE">
              <w:rPr>
                <w:rFonts w:asciiTheme="minorHAnsi" w:hAnsiTheme="minorHAnsi" w:cstheme="minorHAnsi"/>
                <w:bCs/>
                <w:color w:val="3A3838"/>
                <w:sz w:val="16"/>
                <w:szCs w:val="16"/>
                <w:lang w:eastAsia="es-MX"/>
              </w:rPr>
              <w:t>0 estudiantes (matrícula 2024–2025).</w:t>
            </w:r>
          </w:p>
        </w:tc>
        <w:tc>
          <w:tcPr>
            <w:tcW w:w="562" w:type="pct"/>
            <w:vAlign w:val="center"/>
            <w:hideMark/>
          </w:tcPr>
          <w:p w14:paraId="2E65D60B" w14:textId="77777777" w:rsidR="004E689A" w:rsidRPr="002150BE" w:rsidRDefault="004E689A" w:rsidP="004E689A">
            <w:pPr>
              <w:spacing w:after="0" w:line="240" w:lineRule="auto"/>
              <w:jc w:val="center"/>
              <w:rPr>
                <w:rFonts w:asciiTheme="minorHAnsi" w:hAnsiTheme="minorHAnsi" w:cstheme="minorHAnsi"/>
                <w:color w:val="EE0000"/>
                <w:sz w:val="16"/>
                <w:szCs w:val="16"/>
                <w:lang w:eastAsia="es-MX"/>
              </w:rPr>
            </w:pPr>
            <w:r w:rsidRPr="002150BE">
              <w:rPr>
                <w:rFonts w:asciiTheme="minorHAnsi" w:hAnsiTheme="minorHAnsi" w:cstheme="minorHAnsi"/>
                <w:bCs/>
                <w:color w:val="3A3838"/>
                <w:sz w:val="16"/>
                <w:szCs w:val="16"/>
                <w:lang w:eastAsia="es-MX"/>
              </w:rPr>
              <w:t>NA.</w:t>
            </w:r>
          </w:p>
        </w:tc>
        <w:tc>
          <w:tcPr>
            <w:tcW w:w="1069" w:type="pct"/>
            <w:vAlign w:val="center"/>
            <w:hideMark/>
          </w:tcPr>
          <w:p w14:paraId="13D11D65" w14:textId="77777777" w:rsidR="004E689A" w:rsidRPr="002150BE" w:rsidRDefault="004E689A" w:rsidP="004E689A">
            <w:pPr>
              <w:spacing w:after="0" w:line="240" w:lineRule="auto"/>
              <w:jc w:val="center"/>
              <w:rPr>
                <w:rFonts w:asciiTheme="minorHAnsi" w:hAnsiTheme="minorHAnsi" w:cstheme="minorHAnsi"/>
                <w:bCs/>
                <w:color w:val="3A3838"/>
                <w:sz w:val="16"/>
                <w:szCs w:val="16"/>
                <w:lang w:eastAsia="es-MX"/>
              </w:rPr>
            </w:pPr>
            <w:r w:rsidRPr="002150BE">
              <w:rPr>
                <w:rFonts w:asciiTheme="minorHAnsi" w:hAnsiTheme="minorHAnsi" w:cstheme="minorHAnsi"/>
                <w:bCs/>
                <w:color w:val="3A3838"/>
                <w:sz w:val="16"/>
                <w:szCs w:val="16"/>
                <w:lang w:eastAsia="es-MX"/>
              </w:rPr>
              <w:t>Sistema de Control Escolar 2024–2025 y formato estadístico 911.</w:t>
            </w:r>
          </w:p>
        </w:tc>
      </w:tr>
      <w:tr w:rsidR="004E689A" w:rsidRPr="002150BE" w14:paraId="47AEAE21" w14:textId="77777777" w:rsidTr="004E689A">
        <w:trPr>
          <w:trHeight w:val="567"/>
        </w:trPr>
        <w:tc>
          <w:tcPr>
            <w:tcW w:w="720" w:type="pct"/>
            <w:shd w:val="clear" w:color="auto" w:fill="FFFFFF" w:themeFill="background1"/>
            <w:vAlign w:val="center"/>
            <w:hideMark/>
          </w:tcPr>
          <w:p w14:paraId="2B55FD3E" w14:textId="77777777" w:rsidR="004E689A" w:rsidRPr="002150BE" w:rsidRDefault="004E689A" w:rsidP="004E689A">
            <w:pPr>
              <w:spacing w:after="0" w:line="240" w:lineRule="auto"/>
              <w:jc w:val="center"/>
              <w:rPr>
                <w:rFonts w:asciiTheme="minorHAnsi" w:hAnsiTheme="minorHAnsi" w:cstheme="minorHAnsi"/>
                <w:color w:val="3A3838"/>
                <w:sz w:val="16"/>
                <w:szCs w:val="16"/>
                <w:lang w:eastAsia="es-MX"/>
              </w:rPr>
            </w:pPr>
            <w:r w:rsidRPr="002150BE">
              <w:rPr>
                <w:rFonts w:asciiTheme="minorHAnsi" w:hAnsiTheme="minorHAnsi" w:cstheme="minorHAnsi"/>
                <w:color w:val="3A3838"/>
                <w:sz w:val="16"/>
                <w:szCs w:val="16"/>
                <w:lang w:eastAsia="es-MX"/>
              </w:rPr>
              <w:lastRenderedPageBreak/>
              <w:t>Personas indígenas y/o afrodescendientes (PIA)</w:t>
            </w:r>
          </w:p>
        </w:tc>
        <w:tc>
          <w:tcPr>
            <w:tcW w:w="1686" w:type="pct"/>
            <w:vAlign w:val="center"/>
            <w:hideMark/>
          </w:tcPr>
          <w:p w14:paraId="1CE0F8FC" w14:textId="77777777" w:rsidR="004E689A" w:rsidRPr="002150BE" w:rsidRDefault="004E689A" w:rsidP="004E689A">
            <w:pPr>
              <w:spacing w:after="0" w:line="240" w:lineRule="auto"/>
              <w:jc w:val="center"/>
              <w:rPr>
                <w:rFonts w:asciiTheme="minorHAnsi" w:hAnsiTheme="minorHAnsi" w:cstheme="minorHAnsi"/>
                <w:bCs/>
                <w:sz w:val="16"/>
                <w:szCs w:val="16"/>
                <w:lang w:eastAsia="es-MX"/>
              </w:rPr>
            </w:pPr>
            <w:r w:rsidRPr="002150BE">
              <w:rPr>
                <w:rFonts w:asciiTheme="minorHAnsi" w:hAnsiTheme="minorHAnsi" w:cstheme="minorHAnsi"/>
                <w:bCs/>
                <w:sz w:val="16"/>
                <w:szCs w:val="16"/>
                <w:lang w:eastAsia="es-MX"/>
              </w:rPr>
              <w:t xml:space="preserve">Estudiantes que se </w:t>
            </w:r>
            <w:proofErr w:type="spellStart"/>
            <w:r w:rsidRPr="002150BE">
              <w:rPr>
                <w:rFonts w:asciiTheme="minorHAnsi" w:hAnsiTheme="minorHAnsi" w:cstheme="minorHAnsi"/>
                <w:bCs/>
                <w:sz w:val="16"/>
                <w:szCs w:val="16"/>
                <w:lang w:eastAsia="es-MX"/>
              </w:rPr>
              <w:t>autoadscriben</w:t>
            </w:r>
            <w:proofErr w:type="spellEnd"/>
            <w:r w:rsidRPr="002150BE">
              <w:rPr>
                <w:rFonts w:asciiTheme="minorHAnsi" w:hAnsiTheme="minorHAnsi" w:cstheme="minorHAnsi"/>
                <w:bCs/>
                <w:sz w:val="16"/>
                <w:szCs w:val="16"/>
                <w:lang w:eastAsia="es-MX"/>
              </w:rPr>
              <w:t xml:space="preserve"> como indígenas o afrodescendientes. La autoidentificación se capta en el sistema de control escolar; sin embargo, en el ciclo 2024–2025 no se registran estudiantes que se identifiquen en estas categorías, por lo que el valor reportado es cero.</w:t>
            </w:r>
          </w:p>
        </w:tc>
        <w:tc>
          <w:tcPr>
            <w:tcW w:w="963" w:type="pct"/>
            <w:vAlign w:val="center"/>
          </w:tcPr>
          <w:p w14:paraId="7DBC9DA1" w14:textId="77777777" w:rsidR="004E689A" w:rsidRPr="002150BE" w:rsidRDefault="004E689A" w:rsidP="004E689A">
            <w:pPr>
              <w:spacing w:after="0" w:line="240" w:lineRule="auto"/>
              <w:jc w:val="center"/>
              <w:rPr>
                <w:rFonts w:asciiTheme="minorHAnsi" w:hAnsiTheme="minorHAnsi" w:cstheme="minorHAnsi"/>
                <w:bCs/>
                <w:color w:val="3A3838"/>
                <w:sz w:val="16"/>
                <w:szCs w:val="16"/>
                <w:highlight w:val="yellow"/>
                <w:lang w:eastAsia="es-MX"/>
              </w:rPr>
            </w:pPr>
            <w:r w:rsidRPr="002150BE">
              <w:rPr>
                <w:rFonts w:asciiTheme="minorHAnsi" w:hAnsiTheme="minorHAnsi" w:cstheme="minorHAnsi"/>
                <w:bCs/>
                <w:sz w:val="16"/>
                <w:szCs w:val="16"/>
                <w:lang w:eastAsia="es-MX"/>
              </w:rPr>
              <w:t>0 estudiantes (matrícula 2024–2025).</w:t>
            </w:r>
          </w:p>
        </w:tc>
        <w:tc>
          <w:tcPr>
            <w:tcW w:w="562" w:type="pct"/>
            <w:vAlign w:val="center"/>
            <w:hideMark/>
          </w:tcPr>
          <w:p w14:paraId="47F831A2" w14:textId="77777777" w:rsidR="004E689A" w:rsidRPr="002150BE" w:rsidRDefault="004E689A" w:rsidP="004E689A">
            <w:pPr>
              <w:spacing w:after="0" w:line="240" w:lineRule="auto"/>
              <w:jc w:val="center"/>
              <w:rPr>
                <w:rFonts w:asciiTheme="minorHAnsi" w:hAnsiTheme="minorHAnsi" w:cstheme="minorHAnsi"/>
                <w:color w:val="EE0000"/>
                <w:sz w:val="16"/>
                <w:szCs w:val="16"/>
                <w:lang w:eastAsia="es-MX"/>
              </w:rPr>
            </w:pPr>
            <w:r w:rsidRPr="002150BE">
              <w:rPr>
                <w:rFonts w:asciiTheme="minorHAnsi" w:hAnsiTheme="minorHAnsi" w:cstheme="minorHAnsi"/>
                <w:bCs/>
                <w:color w:val="3A3838"/>
                <w:sz w:val="16"/>
                <w:szCs w:val="16"/>
                <w:lang w:eastAsia="es-MX"/>
              </w:rPr>
              <w:t>NA.</w:t>
            </w:r>
          </w:p>
        </w:tc>
        <w:tc>
          <w:tcPr>
            <w:tcW w:w="1069" w:type="pct"/>
            <w:vAlign w:val="center"/>
            <w:hideMark/>
          </w:tcPr>
          <w:p w14:paraId="1794EF58" w14:textId="77777777" w:rsidR="004E689A" w:rsidRPr="002150BE" w:rsidRDefault="004E689A" w:rsidP="004E689A">
            <w:pPr>
              <w:spacing w:after="0" w:line="240" w:lineRule="auto"/>
              <w:jc w:val="center"/>
              <w:rPr>
                <w:rFonts w:asciiTheme="minorHAnsi" w:hAnsiTheme="minorHAnsi" w:cstheme="minorHAnsi"/>
                <w:bCs/>
                <w:color w:val="3A3838"/>
                <w:sz w:val="16"/>
                <w:szCs w:val="16"/>
                <w:lang w:eastAsia="es-MX"/>
              </w:rPr>
            </w:pPr>
            <w:r w:rsidRPr="002150BE">
              <w:rPr>
                <w:rFonts w:asciiTheme="minorHAnsi" w:hAnsiTheme="minorHAnsi" w:cstheme="minorHAnsi"/>
                <w:bCs/>
                <w:color w:val="3A3838"/>
                <w:sz w:val="16"/>
                <w:szCs w:val="16"/>
                <w:lang w:eastAsia="es-MX"/>
              </w:rPr>
              <w:t xml:space="preserve">Sistema de Control Escolar 2024–2025; el campo de autoidentificación étnico-cultural existe, pero no se reportan estudiantes que se </w:t>
            </w:r>
            <w:proofErr w:type="spellStart"/>
            <w:r w:rsidRPr="002150BE">
              <w:rPr>
                <w:rFonts w:asciiTheme="minorHAnsi" w:hAnsiTheme="minorHAnsi" w:cstheme="minorHAnsi"/>
                <w:bCs/>
                <w:color w:val="3A3838"/>
                <w:sz w:val="16"/>
                <w:szCs w:val="16"/>
                <w:lang w:eastAsia="es-MX"/>
              </w:rPr>
              <w:t>autoadscriban</w:t>
            </w:r>
            <w:proofErr w:type="spellEnd"/>
            <w:r w:rsidRPr="002150BE">
              <w:rPr>
                <w:rFonts w:asciiTheme="minorHAnsi" w:hAnsiTheme="minorHAnsi" w:cstheme="minorHAnsi"/>
                <w:bCs/>
                <w:color w:val="3A3838"/>
                <w:sz w:val="16"/>
                <w:szCs w:val="16"/>
                <w:lang w:eastAsia="es-MX"/>
              </w:rPr>
              <w:t xml:space="preserve"> como indígenas o afrodescendientes en el periodo de referencia.</w:t>
            </w:r>
          </w:p>
        </w:tc>
      </w:tr>
      <w:tr w:rsidR="004E689A" w:rsidRPr="002150BE" w14:paraId="635A283B" w14:textId="77777777" w:rsidTr="004E689A">
        <w:trPr>
          <w:trHeight w:val="567"/>
        </w:trPr>
        <w:tc>
          <w:tcPr>
            <w:tcW w:w="720" w:type="pct"/>
            <w:shd w:val="clear" w:color="auto" w:fill="FFFFFF" w:themeFill="background1"/>
            <w:vAlign w:val="center"/>
            <w:hideMark/>
          </w:tcPr>
          <w:p w14:paraId="135AF372" w14:textId="77777777" w:rsidR="004E689A" w:rsidRPr="002150BE" w:rsidRDefault="004E689A" w:rsidP="004E689A">
            <w:pPr>
              <w:spacing w:after="0" w:line="240" w:lineRule="auto"/>
              <w:jc w:val="center"/>
              <w:rPr>
                <w:rFonts w:asciiTheme="minorHAnsi" w:hAnsiTheme="minorHAnsi" w:cstheme="minorHAnsi"/>
                <w:color w:val="3A3838"/>
                <w:sz w:val="16"/>
                <w:szCs w:val="16"/>
                <w:lang w:eastAsia="es-MX"/>
              </w:rPr>
            </w:pPr>
            <w:r w:rsidRPr="002150BE">
              <w:rPr>
                <w:rFonts w:asciiTheme="minorHAnsi" w:hAnsiTheme="minorHAnsi" w:cstheme="minorHAnsi"/>
                <w:color w:val="3A3838"/>
                <w:sz w:val="16"/>
                <w:szCs w:val="16"/>
                <w:lang w:eastAsia="es-MX"/>
              </w:rPr>
              <w:t>Personas con discapacidad (PCD)</w:t>
            </w:r>
          </w:p>
        </w:tc>
        <w:tc>
          <w:tcPr>
            <w:tcW w:w="1686" w:type="pct"/>
            <w:vAlign w:val="center"/>
            <w:hideMark/>
          </w:tcPr>
          <w:p w14:paraId="233A0C85" w14:textId="77777777" w:rsidR="004E689A" w:rsidRPr="002150BE" w:rsidRDefault="004E689A" w:rsidP="004E689A">
            <w:pPr>
              <w:spacing w:after="0" w:line="240" w:lineRule="auto"/>
              <w:jc w:val="center"/>
              <w:rPr>
                <w:rFonts w:asciiTheme="minorHAnsi" w:hAnsiTheme="minorHAnsi" w:cstheme="minorHAnsi"/>
                <w:bCs/>
                <w:color w:val="3A3838"/>
                <w:sz w:val="16"/>
                <w:szCs w:val="16"/>
                <w:lang w:eastAsia="es-MX"/>
              </w:rPr>
            </w:pPr>
            <w:r w:rsidRPr="002150BE">
              <w:rPr>
                <w:rFonts w:asciiTheme="minorHAnsi" w:hAnsiTheme="minorHAnsi" w:cstheme="minorHAnsi"/>
                <w:bCs/>
                <w:color w:val="3A3838"/>
                <w:sz w:val="16"/>
                <w:szCs w:val="16"/>
                <w:lang w:eastAsia="es-MX"/>
              </w:rPr>
              <w:t>Estudiantes con alguna discapacidad (física, sensorial, intelectual o psicosocial) que requieren ajustes razonables o apoyos específicos. En la UTC se cuenta con registro de este grupo desde el proceso de inscripción, ya que el dato se solicita y queda capturado en el sistema de control escolar; adicionalmente, la información se reporta en el formato 911 de educación superior.</w:t>
            </w:r>
          </w:p>
        </w:tc>
        <w:tc>
          <w:tcPr>
            <w:tcW w:w="963" w:type="pct"/>
            <w:vAlign w:val="center"/>
          </w:tcPr>
          <w:p w14:paraId="04FF1553" w14:textId="77777777" w:rsidR="004E689A" w:rsidRPr="002150BE" w:rsidRDefault="004E689A" w:rsidP="004E689A">
            <w:pPr>
              <w:spacing w:after="0" w:line="240" w:lineRule="auto"/>
              <w:jc w:val="center"/>
              <w:rPr>
                <w:rFonts w:asciiTheme="minorHAnsi" w:hAnsiTheme="minorHAnsi" w:cstheme="minorHAnsi"/>
                <w:bCs/>
                <w:sz w:val="16"/>
                <w:szCs w:val="16"/>
                <w:highlight w:val="yellow"/>
                <w:lang w:eastAsia="es-MX"/>
              </w:rPr>
            </w:pPr>
          </w:p>
        </w:tc>
        <w:tc>
          <w:tcPr>
            <w:tcW w:w="562" w:type="pct"/>
            <w:vAlign w:val="center"/>
            <w:hideMark/>
          </w:tcPr>
          <w:p w14:paraId="48E1BDCF" w14:textId="77777777" w:rsidR="004E689A" w:rsidRPr="002150BE" w:rsidRDefault="004E689A" w:rsidP="004E689A">
            <w:pPr>
              <w:spacing w:after="0" w:line="240" w:lineRule="auto"/>
              <w:jc w:val="center"/>
              <w:rPr>
                <w:rFonts w:asciiTheme="minorHAnsi" w:hAnsiTheme="minorHAnsi" w:cstheme="minorHAnsi"/>
                <w:sz w:val="16"/>
                <w:szCs w:val="16"/>
                <w:lang w:eastAsia="es-MX"/>
              </w:rPr>
            </w:pPr>
            <w:r w:rsidRPr="002150BE">
              <w:rPr>
                <w:rFonts w:asciiTheme="minorHAnsi" w:hAnsiTheme="minorHAnsi" w:cstheme="minorHAnsi"/>
                <w:sz w:val="16"/>
                <w:szCs w:val="16"/>
                <w:lang w:eastAsia="es-MX"/>
              </w:rPr>
              <w:t>(PA/PCD)</w:t>
            </w:r>
          </w:p>
        </w:tc>
        <w:tc>
          <w:tcPr>
            <w:tcW w:w="1069" w:type="pct"/>
            <w:vAlign w:val="center"/>
            <w:hideMark/>
          </w:tcPr>
          <w:p w14:paraId="173B91EE" w14:textId="77777777" w:rsidR="004E689A" w:rsidRPr="002150BE" w:rsidRDefault="004E689A" w:rsidP="004E689A">
            <w:pPr>
              <w:spacing w:after="0" w:line="240" w:lineRule="auto"/>
              <w:jc w:val="center"/>
              <w:rPr>
                <w:rFonts w:asciiTheme="minorHAnsi" w:hAnsiTheme="minorHAnsi" w:cstheme="minorHAnsi"/>
                <w:bCs/>
                <w:color w:val="3A3838"/>
                <w:sz w:val="16"/>
                <w:szCs w:val="16"/>
                <w:lang w:eastAsia="es-MX"/>
              </w:rPr>
            </w:pPr>
            <w:r w:rsidRPr="002150BE">
              <w:rPr>
                <w:rFonts w:asciiTheme="minorHAnsi" w:hAnsiTheme="minorHAnsi" w:cstheme="minorHAnsi"/>
                <w:bCs/>
                <w:color w:val="3A3838"/>
                <w:sz w:val="16"/>
                <w:szCs w:val="16"/>
                <w:lang w:eastAsia="es-MX"/>
              </w:rPr>
              <w:t>Informes institucionales de actividades sustantivas 2024; se reconoce como área de mejora el registro de PCD en la base de datos de alumnos.</w:t>
            </w:r>
          </w:p>
        </w:tc>
      </w:tr>
      <w:tr w:rsidR="004E689A" w:rsidRPr="002150BE" w14:paraId="73E855E4" w14:textId="77777777" w:rsidTr="004E689A">
        <w:trPr>
          <w:trHeight w:val="454"/>
        </w:trPr>
        <w:tc>
          <w:tcPr>
            <w:tcW w:w="720" w:type="pct"/>
            <w:shd w:val="clear" w:color="auto" w:fill="FFFFFF" w:themeFill="background1"/>
            <w:vAlign w:val="center"/>
            <w:hideMark/>
          </w:tcPr>
          <w:p w14:paraId="14C6584C" w14:textId="77777777" w:rsidR="004E689A" w:rsidRPr="002150BE" w:rsidRDefault="004E689A" w:rsidP="004E689A">
            <w:pPr>
              <w:spacing w:after="0" w:line="240" w:lineRule="auto"/>
              <w:jc w:val="center"/>
              <w:rPr>
                <w:rFonts w:asciiTheme="minorHAnsi" w:hAnsiTheme="minorHAnsi" w:cstheme="minorHAnsi"/>
                <w:color w:val="3A3838"/>
                <w:sz w:val="16"/>
                <w:szCs w:val="16"/>
                <w:lang w:eastAsia="es-MX"/>
              </w:rPr>
            </w:pPr>
            <w:r w:rsidRPr="002150BE">
              <w:rPr>
                <w:rFonts w:asciiTheme="minorHAnsi" w:hAnsiTheme="minorHAnsi" w:cstheme="minorHAnsi"/>
                <w:color w:val="3A3838"/>
                <w:sz w:val="16"/>
                <w:szCs w:val="16"/>
                <w:lang w:eastAsia="es-MX"/>
              </w:rPr>
              <w:t>Localidades rurales (LR)</w:t>
            </w:r>
          </w:p>
        </w:tc>
        <w:tc>
          <w:tcPr>
            <w:tcW w:w="1686" w:type="pct"/>
            <w:vAlign w:val="center"/>
            <w:hideMark/>
          </w:tcPr>
          <w:p w14:paraId="18360E90" w14:textId="77777777" w:rsidR="004E689A" w:rsidRPr="002150BE" w:rsidRDefault="004E689A" w:rsidP="004E689A">
            <w:pPr>
              <w:spacing w:after="0" w:line="240" w:lineRule="auto"/>
              <w:jc w:val="center"/>
              <w:rPr>
                <w:rFonts w:asciiTheme="minorHAnsi" w:hAnsiTheme="minorHAnsi" w:cstheme="minorHAnsi"/>
                <w:bCs/>
                <w:color w:val="3A3838"/>
                <w:sz w:val="16"/>
                <w:szCs w:val="16"/>
                <w:lang w:eastAsia="es-MX"/>
              </w:rPr>
            </w:pPr>
            <w:r w:rsidRPr="002150BE">
              <w:rPr>
                <w:rFonts w:asciiTheme="minorHAnsi" w:hAnsiTheme="minorHAnsi" w:cstheme="minorHAnsi"/>
                <w:bCs/>
                <w:color w:val="3A3838"/>
                <w:sz w:val="16"/>
                <w:szCs w:val="16"/>
                <w:lang w:eastAsia="es-MX"/>
              </w:rPr>
              <w:t>Estudiantes originarios de localidades rurales de los municipios de influencia (comunidades fuera de las cabeceras municipales). La UTC recibe alumnos de comunidades rurales, especialmente vinculadas al sector agroalimentario, pero los reportes no desagregan la matrícula según origen rural/urbano.</w:t>
            </w:r>
          </w:p>
        </w:tc>
        <w:tc>
          <w:tcPr>
            <w:tcW w:w="963" w:type="pct"/>
            <w:vAlign w:val="center"/>
          </w:tcPr>
          <w:p w14:paraId="6CD97191" w14:textId="77777777" w:rsidR="004E689A" w:rsidRPr="002150BE" w:rsidRDefault="004E689A" w:rsidP="004E689A">
            <w:pPr>
              <w:spacing w:after="0" w:line="240" w:lineRule="auto"/>
              <w:jc w:val="center"/>
              <w:rPr>
                <w:rFonts w:asciiTheme="minorHAnsi" w:hAnsiTheme="minorHAnsi" w:cstheme="minorHAnsi"/>
                <w:bCs/>
                <w:sz w:val="16"/>
                <w:szCs w:val="16"/>
                <w:highlight w:val="yellow"/>
                <w:lang w:eastAsia="es-MX"/>
              </w:rPr>
            </w:pPr>
            <w:r w:rsidRPr="002150BE">
              <w:rPr>
                <w:rFonts w:asciiTheme="minorHAnsi" w:hAnsiTheme="minorHAnsi" w:cstheme="minorHAnsi"/>
                <w:bCs/>
                <w:sz w:val="16"/>
                <w:szCs w:val="16"/>
                <w:lang w:eastAsia="es-MX"/>
              </w:rPr>
              <w:t>NA</w:t>
            </w:r>
          </w:p>
        </w:tc>
        <w:tc>
          <w:tcPr>
            <w:tcW w:w="562" w:type="pct"/>
            <w:vAlign w:val="center"/>
            <w:hideMark/>
          </w:tcPr>
          <w:p w14:paraId="6CE6BDE9" w14:textId="77777777" w:rsidR="004E689A" w:rsidRPr="002150BE" w:rsidRDefault="004E689A" w:rsidP="004E689A">
            <w:pPr>
              <w:spacing w:after="0" w:line="240" w:lineRule="auto"/>
              <w:jc w:val="center"/>
              <w:rPr>
                <w:rFonts w:asciiTheme="minorHAnsi" w:hAnsiTheme="minorHAnsi" w:cstheme="minorHAnsi"/>
                <w:sz w:val="16"/>
                <w:szCs w:val="16"/>
                <w:lang w:eastAsia="es-MX"/>
              </w:rPr>
            </w:pPr>
            <w:r w:rsidRPr="002150BE">
              <w:rPr>
                <w:rFonts w:asciiTheme="minorHAnsi" w:hAnsiTheme="minorHAnsi" w:cstheme="minorHAnsi"/>
                <w:sz w:val="16"/>
                <w:szCs w:val="16"/>
                <w:lang w:eastAsia="es-MX"/>
              </w:rPr>
              <w:t>NA</w:t>
            </w:r>
          </w:p>
        </w:tc>
        <w:tc>
          <w:tcPr>
            <w:tcW w:w="1069" w:type="pct"/>
            <w:vAlign w:val="center"/>
            <w:hideMark/>
          </w:tcPr>
          <w:p w14:paraId="6B1085C2" w14:textId="77777777" w:rsidR="004E689A" w:rsidRPr="002150BE" w:rsidRDefault="004E689A" w:rsidP="004E689A">
            <w:pPr>
              <w:spacing w:after="0" w:line="240" w:lineRule="auto"/>
              <w:jc w:val="center"/>
              <w:rPr>
                <w:rFonts w:asciiTheme="minorHAnsi" w:hAnsiTheme="minorHAnsi" w:cstheme="minorHAnsi"/>
                <w:bCs/>
                <w:color w:val="3A3838"/>
                <w:sz w:val="16"/>
                <w:szCs w:val="16"/>
                <w:lang w:eastAsia="es-MX"/>
              </w:rPr>
            </w:pPr>
            <w:r w:rsidRPr="002150BE">
              <w:rPr>
                <w:rFonts w:asciiTheme="minorHAnsi" w:hAnsiTheme="minorHAnsi" w:cstheme="minorHAnsi"/>
                <w:bCs/>
                <w:color w:val="3A3838"/>
                <w:sz w:val="16"/>
                <w:szCs w:val="16"/>
                <w:lang w:eastAsia="es-MX"/>
              </w:rPr>
              <w:t>Informes de actividades sustantivas 2024; necesidad de incorporar en los registros variables sobre procedencia rural/urbana del alumnado.</w:t>
            </w:r>
          </w:p>
        </w:tc>
      </w:tr>
      <w:tr w:rsidR="004E689A" w:rsidRPr="002150BE" w14:paraId="7491F5DF" w14:textId="77777777" w:rsidTr="004E689A">
        <w:trPr>
          <w:trHeight w:val="510"/>
        </w:trPr>
        <w:tc>
          <w:tcPr>
            <w:tcW w:w="720" w:type="pct"/>
            <w:shd w:val="clear" w:color="auto" w:fill="FFFFFF" w:themeFill="background1"/>
            <w:vAlign w:val="center"/>
            <w:hideMark/>
          </w:tcPr>
          <w:p w14:paraId="3333F3C1" w14:textId="77777777" w:rsidR="004E689A" w:rsidRPr="002150BE" w:rsidRDefault="004E689A" w:rsidP="004E689A">
            <w:pPr>
              <w:spacing w:after="0" w:line="240" w:lineRule="auto"/>
              <w:jc w:val="center"/>
              <w:rPr>
                <w:rFonts w:asciiTheme="minorHAnsi" w:hAnsiTheme="minorHAnsi" w:cstheme="minorHAnsi"/>
                <w:color w:val="3A3838"/>
                <w:sz w:val="16"/>
                <w:szCs w:val="16"/>
                <w:lang w:eastAsia="es-MX"/>
              </w:rPr>
            </w:pPr>
            <w:r w:rsidRPr="002150BE">
              <w:rPr>
                <w:rFonts w:asciiTheme="minorHAnsi" w:hAnsiTheme="minorHAnsi" w:cstheme="minorHAnsi"/>
                <w:color w:val="3A3838"/>
                <w:sz w:val="16"/>
                <w:szCs w:val="16"/>
                <w:lang w:eastAsia="es-MX"/>
              </w:rPr>
              <w:t>Municipios del estado (ME)</w:t>
            </w:r>
          </w:p>
        </w:tc>
        <w:tc>
          <w:tcPr>
            <w:tcW w:w="1686" w:type="pct"/>
            <w:vAlign w:val="center"/>
            <w:hideMark/>
          </w:tcPr>
          <w:p w14:paraId="6B1B0A8D" w14:textId="77777777" w:rsidR="004E689A" w:rsidRPr="002150BE" w:rsidRDefault="004E689A" w:rsidP="004E689A">
            <w:pPr>
              <w:spacing w:after="0" w:line="240" w:lineRule="auto"/>
              <w:jc w:val="center"/>
              <w:rPr>
                <w:rFonts w:asciiTheme="minorHAnsi" w:hAnsiTheme="minorHAnsi" w:cstheme="minorHAnsi"/>
                <w:bCs/>
                <w:color w:val="3A3838"/>
                <w:sz w:val="16"/>
                <w:szCs w:val="16"/>
                <w:lang w:eastAsia="es-MX"/>
              </w:rPr>
            </w:pPr>
            <w:r w:rsidRPr="002150BE">
              <w:rPr>
                <w:rFonts w:asciiTheme="minorHAnsi" w:hAnsiTheme="minorHAnsi" w:cstheme="minorHAnsi"/>
                <w:bCs/>
                <w:color w:val="3A3838"/>
                <w:sz w:val="16"/>
                <w:szCs w:val="16"/>
                <w:lang w:eastAsia="es-MX"/>
              </w:rPr>
              <w:t>Municipios desde los cuales la UTC recibe alumnado y con los que desarrolla actividades académicas y de extensión. Para el ciclo 2024–2025 se identifican como área de influencia directa los municipios de Culiacán, Navolato, Mocorito, Elota y El Dorado.</w:t>
            </w:r>
          </w:p>
        </w:tc>
        <w:tc>
          <w:tcPr>
            <w:tcW w:w="963" w:type="pct"/>
            <w:vAlign w:val="center"/>
          </w:tcPr>
          <w:p w14:paraId="0770C274" w14:textId="77777777" w:rsidR="004E689A" w:rsidRPr="002150BE" w:rsidRDefault="004E689A" w:rsidP="004E689A">
            <w:pPr>
              <w:spacing w:after="0" w:line="240" w:lineRule="auto"/>
              <w:jc w:val="center"/>
              <w:rPr>
                <w:rFonts w:asciiTheme="minorHAnsi" w:hAnsiTheme="minorHAnsi" w:cstheme="minorHAnsi"/>
                <w:bCs/>
                <w:sz w:val="16"/>
                <w:szCs w:val="16"/>
                <w:highlight w:val="yellow"/>
                <w:lang w:eastAsia="es-MX"/>
              </w:rPr>
            </w:pPr>
            <w:r w:rsidRPr="002150BE">
              <w:rPr>
                <w:rFonts w:asciiTheme="minorHAnsi" w:hAnsiTheme="minorHAnsi" w:cstheme="minorHAnsi"/>
                <w:bCs/>
                <w:sz w:val="16"/>
                <w:szCs w:val="16"/>
                <w:lang w:eastAsia="es-MX"/>
              </w:rPr>
              <w:t>5 municipios atendidos (de los 18 municipios del estado de Sinaloa)</w:t>
            </w:r>
          </w:p>
        </w:tc>
        <w:tc>
          <w:tcPr>
            <w:tcW w:w="562" w:type="pct"/>
            <w:vAlign w:val="center"/>
            <w:hideMark/>
          </w:tcPr>
          <w:p w14:paraId="0BE0A01B" w14:textId="77777777" w:rsidR="004E689A" w:rsidRPr="002150BE" w:rsidRDefault="004E689A" w:rsidP="004E689A">
            <w:pPr>
              <w:spacing w:after="0" w:line="240" w:lineRule="auto"/>
              <w:jc w:val="center"/>
              <w:rPr>
                <w:rFonts w:asciiTheme="minorHAnsi" w:hAnsiTheme="minorHAnsi" w:cstheme="minorHAnsi"/>
                <w:sz w:val="16"/>
                <w:szCs w:val="16"/>
                <w:lang w:eastAsia="es-MX"/>
              </w:rPr>
            </w:pPr>
            <w:r w:rsidRPr="002150BE">
              <w:rPr>
                <w:rFonts w:asciiTheme="minorHAnsi" w:hAnsiTheme="minorHAnsi" w:cstheme="minorHAnsi"/>
                <w:sz w:val="16"/>
                <w:szCs w:val="16"/>
                <w:lang w:eastAsia="es-MX"/>
              </w:rPr>
              <w:t>Aproximadamente 27.8% de los municipios del estado (5/18)</w:t>
            </w:r>
          </w:p>
        </w:tc>
        <w:tc>
          <w:tcPr>
            <w:tcW w:w="1069" w:type="pct"/>
            <w:vAlign w:val="center"/>
            <w:hideMark/>
          </w:tcPr>
          <w:p w14:paraId="436AD59E" w14:textId="77777777" w:rsidR="004E689A" w:rsidRPr="002150BE" w:rsidRDefault="004E689A" w:rsidP="004E689A">
            <w:pPr>
              <w:spacing w:after="0" w:line="240" w:lineRule="auto"/>
              <w:jc w:val="center"/>
              <w:rPr>
                <w:rFonts w:asciiTheme="minorHAnsi" w:hAnsiTheme="minorHAnsi" w:cstheme="minorHAnsi"/>
                <w:bCs/>
                <w:color w:val="3A3838"/>
                <w:sz w:val="16"/>
                <w:szCs w:val="16"/>
                <w:lang w:eastAsia="es-MX"/>
              </w:rPr>
            </w:pPr>
            <w:r w:rsidRPr="002150BE">
              <w:rPr>
                <w:rFonts w:asciiTheme="minorHAnsi" w:hAnsiTheme="minorHAnsi" w:cstheme="minorHAnsi"/>
                <w:bCs/>
                <w:color w:val="3A3838"/>
                <w:sz w:val="16"/>
                <w:szCs w:val="16"/>
                <w:lang w:eastAsia="es-MX"/>
              </w:rPr>
              <w:t>MML/MIR del Pp y PIDE/PED 2022–2027, donde se delimita la zona de influencia de la UTC en estos cinco municipios; contexto estatal con 18 municipios.</w:t>
            </w:r>
          </w:p>
        </w:tc>
      </w:tr>
      <w:tr w:rsidR="004E689A" w:rsidRPr="002150BE" w14:paraId="3BC2B618" w14:textId="77777777" w:rsidTr="004E689A">
        <w:trPr>
          <w:trHeight w:val="510"/>
        </w:trPr>
        <w:tc>
          <w:tcPr>
            <w:tcW w:w="720" w:type="pct"/>
            <w:shd w:val="clear" w:color="auto" w:fill="FFFFFF" w:themeFill="background1"/>
            <w:vAlign w:val="center"/>
          </w:tcPr>
          <w:p w14:paraId="1E92664C" w14:textId="77777777" w:rsidR="004E689A" w:rsidRPr="002150BE" w:rsidRDefault="004E689A" w:rsidP="004E689A">
            <w:pPr>
              <w:spacing w:after="0" w:line="240" w:lineRule="auto"/>
              <w:jc w:val="center"/>
              <w:rPr>
                <w:rFonts w:asciiTheme="minorHAnsi" w:hAnsiTheme="minorHAnsi" w:cstheme="minorHAnsi"/>
                <w:color w:val="3A3838"/>
                <w:sz w:val="16"/>
                <w:szCs w:val="16"/>
                <w:lang w:eastAsia="es-MX"/>
              </w:rPr>
            </w:pPr>
            <w:r w:rsidRPr="002150BE">
              <w:rPr>
                <w:rFonts w:asciiTheme="minorHAnsi" w:hAnsiTheme="minorHAnsi" w:cstheme="minorHAnsi"/>
                <w:color w:val="3A3838"/>
                <w:sz w:val="16"/>
                <w:szCs w:val="16"/>
                <w:lang w:eastAsia="es-MX"/>
              </w:rPr>
              <w:t>Medio ambiente (MA)</w:t>
            </w:r>
          </w:p>
        </w:tc>
        <w:tc>
          <w:tcPr>
            <w:tcW w:w="1686" w:type="pct"/>
            <w:vAlign w:val="center"/>
          </w:tcPr>
          <w:p w14:paraId="716B35DE" w14:textId="77777777" w:rsidR="004E689A" w:rsidRPr="002150BE" w:rsidRDefault="004E689A" w:rsidP="004E689A">
            <w:pPr>
              <w:spacing w:after="0" w:line="240" w:lineRule="auto"/>
              <w:jc w:val="center"/>
              <w:rPr>
                <w:rFonts w:asciiTheme="minorHAnsi" w:hAnsiTheme="minorHAnsi" w:cstheme="minorHAnsi"/>
                <w:bCs/>
                <w:color w:val="3A3838"/>
                <w:sz w:val="16"/>
                <w:szCs w:val="16"/>
                <w:lang w:eastAsia="es-MX"/>
              </w:rPr>
            </w:pPr>
            <w:r w:rsidRPr="002150BE">
              <w:rPr>
                <w:rFonts w:asciiTheme="minorHAnsi" w:hAnsiTheme="minorHAnsi" w:cstheme="minorHAnsi"/>
                <w:bCs/>
                <w:color w:val="3A3838"/>
                <w:sz w:val="16"/>
                <w:szCs w:val="16"/>
                <w:lang w:eastAsia="es-MX"/>
              </w:rPr>
              <w:t>El medio ambiente es un ámbito de impacto indirecto del Pp, a través de la formación de profesionistas en áreas como Agricultura Sustentable y Protegida, Energías Renovables, Tecnología Ambiental e Ingeniería Ambiental; no se atiende como “población” directa, sino como campo de impacto a través de proyectos y prácticas profesionales.</w:t>
            </w:r>
          </w:p>
        </w:tc>
        <w:tc>
          <w:tcPr>
            <w:tcW w:w="963" w:type="pct"/>
            <w:vAlign w:val="center"/>
          </w:tcPr>
          <w:p w14:paraId="38FE71B2" w14:textId="77777777" w:rsidR="004E689A" w:rsidRPr="002150BE" w:rsidRDefault="004E689A" w:rsidP="004E689A">
            <w:pPr>
              <w:spacing w:after="0" w:line="240" w:lineRule="auto"/>
              <w:jc w:val="center"/>
              <w:rPr>
                <w:rFonts w:asciiTheme="minorHAnsi" w:hAnsiTheme="minorHAnsi" w:cstheme="minorHAnsi"/>
                <w:bCs/>
                <w:sz w:val="16"/>
                <w:szCs w:val="16"/>
                <w:highlight w:val="yellow"/>
                <w:lang w:eastAsia="es-MX"/>
              </w:rPr>
            </w:pPr>
            <w:r w:rsidRPr="002150BE">
              <w:rPr>
                <w:rFonts w:asciiTheme="minorHAnsi" w:hAnsiTheme="minorHAnsi" w:cstheme="minorHAnsi"/>
                <w:bCs/>
                <w:sz w:val="16"/>
                <w:szCs w:val="16"/>
                <w:lang w:eastAsia="es-MX"/>
              </w:rPr>
              <w:t>No aplica como “cantidad de población”</w:t>
            </w:r>
          </w:p>
        </w:tc>
        <w:tc>
          <w:tcPr>
            <w:tcW w:w="562" w:type="pct"/>
            <w:vAlign w:val="center"/>
          </w:tcPr>
          <w:p w14:paraId="145C90CF" w14:textId="77777777" w:rsidR="004E689A" w:rsidRPr="002150BE" w:rsidRDefault="004E689A" w:rsidP="004E689A">
            <w:pPr>
              <w:spacing w:after="0" w:line="240" w:lineRule="auto"/>
              <w:jc w:val="center"/>
              <w:rPr>
                <w:rFonts w:asciiTheme="minorHAnsi" w:hAnsiTheme="minorHAnsi" w:cstheme="minorHAnsi"/>
                <w:sz w:val="16"/>
                <w:szCs w:val="16"/>
                <w:lang w:eastAsia="es-MX"/>
              </w:rPr>
            </w:pPr>
            <w:r w:rsidRPr="002150BE">
              <w:rPr>
                <w:rFonts w:asciiTheme="minorHAnsi" w:hAnsiTheme="minorHAnsi" w:cstheme="minorHAnsi"/>
                <w:sz w:val="16"/>
                <w:szCs w:val="16"/>
                <w:lang w:eastAsia="es-MX"/>
              </w:rPr>
              <w:t>NA</w:t>
            </w:r>
          </w:p>
        </w:tc>
        <w:tc>
          <w:tcPr>
            <w:tcW w:w="1069" w:type="pct"/>
            <w:vAlign w:val="center"/>
          </w:tcPr>
          <w:p w14:paraId="3E2C1231" w14:textId="77777777" w:rsidR="004E689A" w:rsidRPr="002150BE" w:rsidRDefault="004E689A" w:rsidP="004E689A">
            <w:pPr>
              <w:spacing w:after="0" w:line="240" w:lineRule="auto"/>
              <w:jc w:val="center"/>
              <w:rPr>
                <w:rFonts w:asciiTheme="minorHAnsi" w:hAnsiTheme="minorHAnsi" w:cstheme="minorHAnsi"/>
                <w:bCs/>
                <w:color w:val="3A3838"/>
                <w:sz w:val="16"/>
                <w:szCs w:val="16"/>
                <w:lang w:eastAsia="es-MX"/>
              </w:rPr>
            </w:pPr>
            <w:r w:rsidRPr="002150BE">
              <w:rPr>
                <w:rFonts w:asciiTheme="minorHAnsi" w:hAnsiTheme="minorHAnsi" w:cstheme="minorHAnsi"/>
                <w:bCs/>
                <w:color w:val="3A3838"/>
                <w:sz w:val="16"/>
                <w:szCs w:val="16"/>
                <w:lang w:eastAsia="es-MX"/>
              </w:rPr>
              <w:t>Informes de actividades sustantivas 2024, secciones de pertinencia social, vinculación y programas ambientales.</w:t>
            </w:r>
          </w:p>
        </w:tc>
      </w:tr>
      <w:tr w:rsidR="004E689A" w:rsidRPr="002150BE" w14:paraId="52810FD5" w14:textId="77777777" w:rsidTr="004E689A">
        <w:trPr>
          <w:trHeight w:val="454"/>
        </w:trPr>
        <w:tc>
          <w:tcPr>
            <w:tcW w:w="720" w:type="pct"/>
            <w:shd w:val="clear" w:color="auto" w:fill="FFFFFF" w:themeFill="background1"/>
            <w:vAlign w:val="center"/>
            <w:hideMark/>
          </w:tcPr>
          <w:p w14:paraId="37D09DD2" w14:textId="77777777" w:rsidR="004E689A" w:rsidRPr="002150BE" w:rsidRDefault="004E689A" w:rsidP="004E689A">
            <w:pPr>
              <w:spacing w:after="0" w:line="240" w:lineRule="auto"/>
              <w:jc w:val="center"/>
              <w:rPr>
                <w:rFonts w:asciiTheme="minorHAnsi" w:hAnsiTheme="minorHAnsi" w:cstheme="minorHAnsi"/>
                <w:color w:val="3A3838"/>
                <w:sz w:val="16"/>
                <w:szCs w:val="16"/>
                <w:lang w:eastAsia="es-MX"/>
              </w:rPr>
            </w:pPr>
            <w:r w:rsidRPr="002150BE">
              <w:rPr>
                <w:rFonts w:asciiTheme="minorHAnsi" w:hAnsiTheme="minorHAnsi" w:cstheme="minorHAnsi"/>
                <w:color w:val="3A3838"/>
                <w:sz w:val="16"/>
                <w:szCs w:val="16"/>
                <w:lang w:eastAsia="es-MX"/>
              </w:rPr>
              <w:t>Otro</w:t>
            </w:r>
          </w:p>
        </w:tc>
        <w:tc>
          <w:tcPr>
            <w:tcW w:w="1686" w:type="pct"/>
            <w:vAlign w:val="center"/>
            <w:hideMark/>
          </w:tcPr>
          <w:p w14:paraId="594358BB" w14:textId="77777777" w:rsidR="004E689A" w:rsidRPr="002150BE" w:rsidRDefault="004E689A" w:rsidP="004E689A">
            <w:pPr>
              <w:spacing w:after="0" w:line="240" w:lineRule="auto"/>
              <w:jc w:val="center"/>
              <w:rPr>
                <w:rFonts w:asciiTheme="minorHAnsi" w:hAnsiTheme="minorHAnsi" w:cstheme="minorHAnsi"/>
                <w:bCs/>
                <w:color w:val="3A3838"/>
                <w:sz w:val="16"/>
                <w:szCs w:val="16"/>
                <w:lang w:eastAsia="es-MX"/>
              </w:rPr>
            </w:pPr>
          </w:p>
        </w:tc>
        <w:tc>
          <w:tcPr>
            <w:tcW w:w="963" w:type="pct"/>
            <w:vAlign w:val="center"/>
          </w:tcPr>
          <w:p w14:paraId="07AFD6CD" w14:textId="77777777" w:rsidR="004E689A" w:rsidRPr="002150BE" w:rsidRDefault="004E689A" w:rsidP="004E689A">
            <w:pPr>
              <w:spacing w:after="0" w:line="240" w:lineRule="auto"/>
              <w:jc w:val="center"/>
              <w:rPr>
                <w:rFonts w:asciiTheme="minorHAnsi" w:hAnsiTheme="minorHAnsi" w:cstheme="minorHAnsi"/>
                <w:bCs/>
                <w:sz w:val="16"/>
                <w:szCs w:val="16"/>
                <w:highlight w:val="yellow"/>
                <w:lang w:eastAsia="es-MX"/>
              </w:rPr>
            </w:pPr>
          </w:p>
        </w:tc>
        <w:tc>
          <w:tcPr>
            <w:tcW w:w="562" w:type="pct"/>
            <w:vAlign w:val="center"/>
            <w:hideMark/>
          </w:tcPr>
          <w:p w14:paraId="7FD03A47" w14:textId="77777777" w:rsidR="004E689A" w:rsidRPr="002150BE" w:rsidRDefault="004E689A" w:rsidP="004E689A">
            <w:pPr>
              <w:spacing w:after="0" w:line="240" w:lineRule="auto"/>
              <w:jc w:val="center"/>
              <w:rPr>
                <w:rFonts w:asciiTheme="minorHAnsi" w:hAnsiTheme="minorHAnsi" w:cstheme="minorHAnsi"/>
                <w:sz w:val="16"/>
                <w:szCs w:val="16"/>
                <w:highlight w:val="yellow"/>
                <w:lang w:eastAsia="es-MX"/>
              </w:rPr>
            </w:pPr>
            <w:r w:rsidRPr="002150BE">
              <w:rPr>
                <w:rFonts w:asciiTheme="minorHAnsi" w:hAnsiTheme="minorHAnsi" w:cstheme="minorHAnsi"/>
                <w:sz w:val="16"/>
                <w:szCs w:val="16"/>
                <w:lang w:eastAsia="es-MX"/>
              </w:rPr>
              <w:t>PA/Otros</w:t>
            </w:r>
          </w:p>
        </w:tc>
        <w:tc>
          <w:tcPr>
            <w:tcW w:w="1069" w:type="pct"/>
            <w:vAlign w:val="center"/>
            <w:hideMark/>
          </w:tcPr>
          <w:p w14:paraId="7258C4C1" w14:textId="77777777" w:rsidR="004E689A" w:rsidRPr="002150BE" w:rsidRDefault="004E689A" w:rsidP="004E689A">
            <w:pPr>
              <w:spacing w:after="0" w:line="240" w:lineRule="auto"/>
              <w:jc w:val="center"/>
              <w:rPr>
                <w:rFonts w:asciiTheme="minorHAnsi" w:hAnsiTheme="minorHAnsi" w:cstheme="minorHAnsi"/>
                <w:bCs/>
                <w:color w:val="3A3838"/>
                <w:sz w:val="16"/>
                <w:szCs w:val="16"/>
                <w:highlight w:val="yellow"/>
                <w:lang w:eastAsia="es-MX"/>
              </w:rPr>
            </w:pPr>
          </w:p>
        </w:tc>
      </w:tr>
    </w:tbl>
    <w:p w14:paraId="3C4931A0" w14:textId="77777777" w:rsidR="00D25998" w:rsidRPr="002150BE" w:rsidRDefault="00D25998">
      <w:pPr>
        <w:rPr>
          <w:rFonts w:asciiTheme="minorHAnsi" w:hAnsiTheme="minorHAnsi" w:cstheme="minorHAnsi"/>
        </w:rPr>
      </w:pPr>
    </w:p>
    <w:p w14:paraId="5F019965" w14:textId="77777777" w:rsidR="00F550CD" w:rsidRPr="002150BE" w:rsidRDefault="00F550CD">
      <w:pPr>
        <w:rPr>
          <w:rFonts w:asciiTheme="minorHAnsi" w:hAnsiTheme="minorHAnsi" w:cstheme="minorHAnsi"/>
        </w:rPr>
      </w:pPr>
    </w:p>
    <w:p w14:paraId="5B66A276" w14:textId="77777777" w:rsidR="00F550CD" w:rsidRPr="002150BE" w:rsidRDefault="00F550CD">
      <w:pPr>
        <w:rPr>
          <w:rFonts w:asciiTheme="minorHAnsi" w:hAnsiTheme="minorHAnsi" w:cstheme="minorHAnsi"/>
        </w:rPr>
      </w:pPr>
    </w:p>
    <w:p w14:paraId="0B7382DB" w14:textId="77777777" w:rsidR="00F550CD" w:rsidRDefault="00F550CD">
      <w:pPr>
        <w:rPr>
          <w:rFonts w:asciiTheme="minorHAnsi" w:hAnsiTheme="minorHAnsi" w:cstheme="minorHAnsi"/>
        </w:rPr>
      </w:pPr>
    </w:p>
    <w:p w14:paraId="6A9CE86A" w14:textId="77777777" w:rsidR="0040486E" w:rsidRPr="002150BE" w:rsidRDefault="0040486E">
      <w:pPr>
        <w:rPr>
          <w:rFonts w:asciiTheme="minorHAnsi" w:hAnsiTheme="minorHAnsi" w:cstheme="minorHAnsi"/>
        </w:rPr>
      </w:pPr>
    </w:p>
    <w:p w14:paraId="696FB3F1" w14:textId="77777777" w:rsidR="00F550CD" w:rsidRPr="002150BE" w:rsidRDefault="00F550CD">
      <w:pPr>
        <w:rPr>
          <w:rFonts w:asciiTheme="minorHAnsi" w:hAnsiTheme="minorHAnsi" w:cstheme="minorHAnsi"/>
        </w:rPr>
      </w:pPr>
    </w:p>
    <w:tbl>
      <w:tblPr>
        <w:tblW w:w="5000" w:type="pct"/>
        <w:tblLayout w:type="fixed"/>
        <w:tblCellMar>
          <w:left w:w="70" w:type="dxa"/>
          <w:right w:w="70" w:type="dxa"/>
        </w:tblCellMar>
        <w:tblLook w:val="04A0" w:firstRow="1" w:lastRow="0" w:firstColumn="1" w:lastColumn="0" w:noHBand="0" w:noVBand="1"/>
      </w:tblPr>
      <w:tblGrid>
        <w:gridCol w:w="8978"/>
      </w:tblGrid>
      <w:tr w:rsidR="001D76AA" w:rsidRPr="002150BE" w14:paraId="2AE7A0D8" w14:textId="77777777" w:rsidTr="001D76AA">
        <w:trPr>
          <w:trHeight w:val="681"/>
        </w:trPr>
        <w:tc>
          <w:tcPr>
            <w:tcW w:w="5000" w:type="pc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404040" w:themeFill="text1" w:themeFillTint="BF"/>
          </w:tcPr>
          <w:p w14:paraId="7D572114" w14:textId="77777777" w:rsidR="00D25998" w:rsidRPr="002150BE" w:rsidRDefault="001D76AA" w:rsidP="00AD62D4">
            <w:pPr>
              <w:spacing w:after="0" w:line="240" w:lineRule="auto"/>
              <w:jc w:val="center"/>
              <w:rPr>
                <w:rFonts w:asciiTheme="minorHAnsi" w:hAnsiTheme="minorHAnsi" w:cstheme="minorHAnsi"/>
                <w:b/>
                <w:color w:val="FFFFFF" w:themeColor="background1"/>
                <w:sz w:val="18"/>
              </w:rPr>
            </w:pPr>
            <w:r w:rsidRPr="002150BE">
              <w:rPr>
                <w:rFonts w:asciiTheme="minorHAnsi" w:hAnsiTheme="minorHAnsi" w:cstheme="minorHAnsi"/>
                <w:b/>
                <w:color w:val="FFFFFF" w:themeColor="background1"/>
                <w:sz w:val="18"/>
              </w:rPr>
              <w:lastRenderedPageBreak/>
              <w:br w:type="page"/>
            </w:r>
            <w:bookmarkStart w:id="64" w:name="RANGE!A1:Q46"/>
          </w:p>
          <w:p w14:paraId="129CF820" w14:textId="77777777" w:rsidR="001D76AA" w:rsidRPr="002150BE" w:rsidRDefault="001D76AA" w:rsidP="00AD62D4">
            <w:pPr>
              <w:spacing w:after="0" w:line="240" w:lineRule="auto"/>
              <w:jc w:val="center"/>
              <w:rPr>
                <w:rFonts w:asciiTheme="minorHAnsi" w:hAnsiTheme="minorHAnsi" w:cstheme="minorHAnsi"/>
                <w:b/>
                <w:color w:val="FFFFFF" w:themeColor="background1"/>
                <w:sz w:val="18"/>
                <w:lang w:eastAsia="es-MX"/>
              </w:rPr>
            </w:pPr>
            <w:r w:rsidRPr="002150BE">
              <w:rPr>
                <w:rFonts w:asciiTheme="minorHAnsi" w:hAnsiTheme="minorHAnsi" w:cstheme="minorHAnsi"/>
                <w:b/>
                <w:color w:val="FFFFFF" w:themeColor="background1"/>
                <w:lang w:eastAsia="es-MX"/>
              </w:rPr>
              <w:t>Anexo 2. Árbol del Problema</w:t>
            </w:r>
            <w:bookmarkEnd w:id="64"/>
          </w:p>
        </w:tc>
      </w:tr>
    </w:tbl>
    <w:p w14:paraId="1312414F" w14:textId="79A094FF" w:rsidR="001E184D" w:rsidRPr="002150BE" w:rsidRDefault="001E184D">
      <w:pPr>
        <w:spacing w:line="276" w:lineRule="auto"/>
        <w:jc w:val="left"/>
        <w:rPr>
          <w:rFonts w:asciiTheme="minorHAnsi" w:hAnsiTheme="minorHAnsi" w:cstheme="minorHAnsi"/>
          <w:lang w:val="es-ES"/>
        </w:rPr>
      </w:pPr>
    </w:p>
    <w:p w14:paraId="3E602813" w14:textId="2081040F" w:rsidR="00EA5AC2" w:rsidRPr="002150BE" w:rsidRDefault="00D47049">
      <w:pPr>
        <w:spacing w:line="276" w:lineRule="auto"/>
        <w:jc w:val="left"/>
        <w:rPr>
          <w:rFonts w:asciiTheme="minorHAnsi" w:hAnsiTheme="minorHAnsi" w:cstheme="minorHAnsi"/>
          <w:lang w:val="es-ES"/>
        </w:rPr>
      </w:pPr>
      <w:r w:rsidRPr="002150BE">
        <w:rPr>
          <w:rFonts w:asciiTheme="minorHAnsi" w:hAnsiTheme="minorHAnsi" w:cstheme="minorHAnsi"/>
          <w:noProof/>
          <w:lang w:eastAsia="es-MX"/>
        </w:rPr>
        <w:drawing>
          <wp:anchor distT="0" distB="0" distL="114300" distR="114300" simplePos="0" relativeHeight="251762176" behindDoc="1" locked="0" layoutInCell="1" allowOverlap="1" wp14:anchorId="10856BE0" wp14:editId="35564E8A">
            <wp:simplePos x="0" y="0"/>
            <wp:positionH relativeFrom="margin">
              <wp:posOffset>-987784</wp:posOffset>
            </wp:positionH>
            <wp:positionV relativeFrom="margin">
              <wp:posOffset>998237</wp:posOffset>
            </wp:positionV>
            <wp:extent cx="7605220" cy="6647048"/>
            <wp:effectExtent l="2857" t="0" r="0" b="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rot="16200000">
                      <a:off x="0" y="0"/>
                      <a:ext cx="7607709" cy="66492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184D" w:rsidRPr="002150BE">
        <w:rPr>
          <w:rFonts w:asciiTheme="minorHAnsi" w:hAnsiTheme="minorHAnsi" w:cstheme="minorHAnsi"/>
          <w:lang w:val="es-ES"/>
        </w:rPr>
        <w:br w:type="page"/>
      </w:r>
    </w:p>
    <w:tbl>
      <w:tblPr>
        <w:tblW w:w="5000" w:type="pct"/>
        <w:tblCellMar>
          <w:left w:w="70" w:type="dxa"/>
          <w:right w:w="70" w:type="dxa"/>
        </w:tblCellMar>
        <w:tblLook w:val="04A0" w:firstRow="1" w:lastRow="0" w:firstColumn="1" w:lastColumn="0" w:noHBand="0" w:noVBand="1"/>
      </w:tblPr>
      <w:tblGrid>
        <w:gridCol w:w="8978"/>
      </w:tblGrid>
      <w:tr w:rsidR="00AD62D4" w:rsidRPr="002150BE" w14:paraId="131F7EE6" w14:textId="77777777" w:rsidTr="00FC6B42">
        <w:trPr>
          <w:trHeight w:val="481"/>
        </w:trPr>
        <w:tc>
          <w:tcPr>
            <w:tcW w:w="5000" w:type="pct"/>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04040" w:themeFill="text1" w:themeFillTint="BF"/>
            <w:vAlign w:val="center"/>
            <w:hideMark/>
          </w:tcPr>
          <w:p w14:paraId="09EE3979" w14:textId="77777777" w:rsidR="00AD62D4" w:rsidRPr="002150BE" w:rsidRDefault="00AD62D4" w:rsidP="00AD62D4">
            <w:pPr>
              <w:spacing w:after="0" w:line="240" w:lineRule="auto"/>
              <w:jc w:val="center"/>
              <w:rPr>
                <w:rFonts w:asciiTheme="minorHAnsi" w:hAnsiTheme="minorHAnsi" w:cstheme="minorHAnsi"/>
                <w:b/>
                <w:color w:val="FFFFFF" w:themeColor="background1"/>
                <w:sz w:val="18"/>
                <w:lang w:eastAsia="es-MX"/>
              </w:rPr>
            </w:pPr>
            <w:bookmarkStart w:id="65" w:name="RANGE!A1:Q45"/>
            <w:r w:rsidRPr="002150BE">
              <w:rPr>
                <w:rFonts w:asciiTheme="minorHAnsi" w:eastAsia="Times New Roman" w:hAnsiTheme="minorHAnsi" w:cstheme="minorHAnsi"/>
                <w:b/>
                <w:bCs/>
                <w:color w:val="FFFFFF"/>
                <w:szCs w:val="18"/>
                <w:lang w:eastAsia="es-MX"/>
              </w:rPr>
              <w:lastRenderedPageBreak/>
              <w:t>Anexo 3. Árbol de Objetivos</w:t>
            </w:r>
            <w:bookmarkEnd w:id="65"/>
          </w:p>
        </w:tc>
      </w:tr>
      <w:tr w:rsidR="00AD62D4" w:rsidRPr="002150BE" w14:paraId="40417DDD" w14:textId="77777777" w:rsidTr="001E184D">
        <w:trPr>
          <w:trHeight w:val="481"/>
        </w:trPr>
        <w:tc>
          <w:tcPr>
            <w:tcW w:w="5000" w:type="pct"/>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04040" w:themeFill="text1" w:themeFillTint="BF"/>
            <w:vAlign w:val="center"/>
            <w:hideMark/>
          </w:tcPr>
          <w:p w14:paraId="3A53E9EA" w14:textId="77777777" w:rsidR="00AD62D4" w:rsidRPr="002150BE" w:rsidRDefault="00AD62D4" w:rsidP="00AD62D4">
            <w:pPr>
              <w:spacing w:after="0" w:line="240" w:lineRule="auto"/>
              <w:rPr>
                <w:rFonts w:asciiTheme="minorHAnsi" w:hAnsiTheme="minorHAnsi" w:cstheme="minorHAnsi"/>
                <w:sz w:val="18"/>
                <w:lang w:eastAsia="es-MX"/>
              </w:rPr>
            </w:pPr>
          </w:p>
        </w:tc>
      </w:tr>
    </w:tbl>
    <w:p w14:paraId="2B86688B" w14:textId="77777777" w:rsidR="008C244C" w:rsidRPr="002150BE" w:rsidRDefault="00EA5AC2" w:rsidP="00AD62D4">
      <w:pPr>
        <w:rPr>
          <w:rFonts w:asciiTheme="minorHAnsi" w:hAnsiTheme="minorHAnsi" w:cstheme="minorHAnsi"/>
          <w:lang w:val="es-ES"/>
        </w:rPr>
      </w:pPr>
      <w:r w:rsidRPr="002150BE">
        <w:rPr>
          <w:rFonts w:asciiTheme="minorHAnsi" w:hAnsiTheme="minorHAnsi" w:cstheme="minorHAnsi"/>
          <w:noProof/>
          <w:lang w:eastAsia="es-MX"/>
        </w:rPr>
        <w:drawing>
          <wp:anchor distT="0" distB="0" distL="114300" distR="114300" simplePos="0" relativeHeight="251756032" behindDoc="1" locked="0" layoutInCell="1" allowOverlap="1" wp14:anchorId="1E392814" wp14:editId="11C34AEE">
            <wp:simplePos x="0" y="0"/>
            <wp:positionH relativeFrom="page">
              <wp:align>right</wp:align>
            </wp:positionH>
            <wp:positionV relativeFrom="paragraph">
              <wp:posOffset>278606</wp:posOffset>
            </wp:positionV>
            <wp:extent cx="8486457" cy="7118350"/>
            <wp:effectExtent l="0" t="0" r="8255"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rot="16200000">
                      <a:off x="0" y="0"/>
                      <a:ext cx="8486457" cy="7118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656D7E" w14:textId="77777777" w:rsidR="007C6D37" w:rsidRPr="002150BE" w:rsidRDefault="007C6D37">
      <w:pPr>
        <w:spacing w:line="276" w:lineRule="auto"/>
        <w:jc w:val="left"/>
        <w:rPr>
          <w:rFonts w:asciiTheme="minorHAnsi" w:hAnsiTheme="minorHAnsi" w:cstheme="minorHAnsi"/>
          <w:lang w:val="es-ES"/>
        </w:rPr>
      </w:pPr>
      <w:r w:rsidRPr="002150BE">
        <w:rPr>
          <w:rFonts w:asciiTheme="minorHAnsi" w:hAnsiTheme="minorHAnsi" w:cstheme="minorHAnsi"/>
          <w:lang w:val="es-ES"/>
        </w:rPr>
        <w:br w:type="page"/>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1446"/>
        <w:gridCol w:w="982"/>
        <w:gridCol w:w="433"/>
        <w:gridCol w:w="824"/>
        <w:gridCol w:w="402"/>
        <w:gridCol w:w="393"/>
        <w:gridCol w:w="402"/>
        <w:gridCol w:w="747"/>
        <w:gridCol w:w="429"/>
        <w:gridCol w:w="1442"/>
        <w:gridCol w:w="219"/>
        <w:gridCol w:w="1259"/>
      </w:tblGrid>
      <w:tr w:rsidR="007C6D37" w:rsidRPr="002150BE" w14:paraId="7F91254C" w14:textId="77777777" w:rsidTr="00FC6B42">
        <w:trPr>
          <w:trHeight w:val="419"/>
        </w:trPr>
        <w:tc>
          <w:tcPr>
            <w:tcW w:w="5000" w:type="pct"/>
            <w:gridSpan w:val="12"/>
            <w:shd w:val="clear" w:color="auto" w:fill="404040" w:themeFill="text1" w:themeFillTint="BF"/>
            <w:vAlign w:val="center"/>
            <w:hideMark/>
          </w:tcPr>
          <w:p w14:paraId="7426622C" w14:textId="77777777" w:rsidR="007C6D37" w:rsidRPr="002150BE" w:rsidRDefault="007C6D37" w:rsidP="007C6D37">
            <w:pPr>
              <w:spacing w:after="0" w:line="240" w:lineRule="auto"/>
              <w:jc w:val="center"/>
              <w:rPr>
                <w:rFonts w:asciiTheme="minorHAnsi" w:hAnsiTheme="minorHAnsi" w:cstheme="minorHAnsi"/>
                <w:b/>
                <w:color w:val="FFFFFF" w:themeColor="background1"/>
                <w:sz w:val="16"/>
                <w:lang w:eastAsia="es-MX"/>
              </w:rPr>
            </w:pPr>
            <w:r w:rsidRPr="002150BE">
              <w:rPr>
                <w:rFonts w:asciiTheme="minorHAnsi" w:hAnsiTheme="minorHAnsi" w:cstheme="minorHAnsi"/>
                <w:b/>
                <w:color w:val="FFFFFF" w:themeColor="background1"/>
                <w:sz w:val="16"/>
              </w:rPr>
              <w:lastRenderedPageBreak/>
              <w:br w:type="page"/>
            </w:r>
            <w:bookmarkStart w:id="66" w:name="RANGE!A1:S29"/>
            <w:r w:rsidRPr="002150BE">
              <w:rPr>
                <w:rFonts w:asciiTheme="minorHAnsi" w:hAnsiTheme="minorHAnsi" w:cstheme="minorHAnsi"/>
                <w:b/>
                <w:color w:val="FFFFFF" w:themeColor="background1"/>
                <w:lang w:eastAsia="es-MX"/>
              </w:rPr>
              <w:t>Anexo 4. Estrategia de Cobertura</w:t>
            </w:r>
            <w:bookmarkEnd w:id="66"/>
          </w:p>
        </w:tc>
      </w:tr>
      <w:tr w:rsidR="007C6D37" w:rsidRPr="002150BE" w14:paraId="17CC1D80" w14:textId="77777777" w:rsidTr="005B2BFF">
        <w:trPr>
          <w:trHeight w:val="344"/>
        </w:trPr>
        <w:tc>
          <w:tcPr>
            <w:tcW w:w="1352" w:type="pct"/>
            <w:gridSpan w:val="2"/>
            <w:shd w:val="clear" w:color="auto" w:fill="D9D9D9" w:themeFill="background1" w:themeFillShade="D9"/>
            <w:noWrap/>
            <w:vAlign w:val="center"/>
            <w:hideMark/>
          </w:tcPr>
          <w:p w14:paraId="7E50C36D" w14:textId="77777777" w:rsidR="007C6D37" w:rsidRPr="002150BE" w:rsidRDefault="007C6D37" w:rsidP="007C6D37">
            <w:pPr>
              <w:spacing w:after="0" w:line="240" w:lineRule="auto"/>
              <w:jc w:val="center"/>
              <w:rPr>
                <w:rFonts w:asciiTheme="minorHAnsi" w:hAnsiTheme="minorHAnsi" w:cstheme="minorHAnsi"/>
                <w:b/>
                <w:color w:val="000000"/>
                <w:sz w:val="16"/>
                <w:lang w:eastAsia="es-MX"/>
              </w:rPr>
            </w:pPr>
            <w:r w:rsidRPr="002150BE">
              <w:rPr>
                <w:rFonts w:asciiTheme="minorHAnsi" w:hAnsiTheme="minorHAnsi" w:cstheme="minorHAnsi"/>
                <w:b/>
                <w:color w:val="000000"/>
                <w:sz w:val="16"/>
                <w:lang w:eastAsia="es-MX"/>
              </w:rPr>
              <w:t>Clave y nombre del Pp:</w:t>
            </w:r>
          </w:p>
        </w:tc>
        <w:tc>
          <w:tcPr>
            <w:tcW w:w="3648" w:type="pct"/>
            <w:gridSpan w:val="10"/>
            <w:noWrap/>
            <w:vAlign w:val="center"/>
            <w:hideMark/>
          </w:tcPr>
          <w:p w14:paraId="7B661F4F" w14:textId="77777777" w:rsidR="007C6D37" w:rsidRPr="002150BE" w:rsidRDefault="004E689A" w:rsidP="007C6D37">
            <w:pPr>
              <w:spacing w:after="0" w:line="240" w:lineRule="auto"/>
              <w:jc w:val="center"/>
              <w:rPr>
                <w:rFonts w:asciiTheme="minorHAnsi" w:hAnsiTheme="minorHAnsi" w:cstheme="minorHAnsi"/>
                <w:color w:val="000000"/>
                <w:sz w:val="16"/>
                <w:lang w:eastAsia="es-MX"/>
              </w:rPr>
            </w:pPr>
            <w:r w:rsidRPr="002150BE">
              <w:rPr>
                <w:rFonts w:asciiTheme="minorHAnsi" w:hAnsiTheme="minorHAnsi" w:cstheme="minorHAnsi"/>
                <w:color w:val="000000"/>
                <w:sz w:val="16"/>
                <w:lang w:eastAsia="es-MX"/>
              </w:rPr>
              <w:t>E053. Servicios de Educación Superior y Posgrado de Calidad</w:t>
            </w:r>
          </w:p>
        </w:tc>
      </w:tr>
      <w:tr w:rsidR="007C6D37" w:rsidRPr="002150BE" w14:paraId="2424F6BE" w14:textId="77777777" w:rsidTr="005B2BFF">
        <w:trPr>
          <w:trHeight w:val="359"/>
        </w:trPr>
        <w:tc>
          <w:tcPr>
            <w:tcW w:w="1352" w:type="pct"/>
            <w:gridSpan w:val="2"/>
            <w:shd w:val="clear" w:color="auto" w:fill="D9D9D9" w:themeFill="background1" w:themeFillShade="D9"/>
            <w:noWrap/>
            <w:vAlign w:val="center"/>
            <w:hideMark/>
          </w:tcPr>
          <w:p w14:paraId="0C947E76" w14:textId="77777777" w:rsidR="007C6D37" w:rsidRPr="002150BE" w:rsidRDefault="007C6D37" w:rsidP="007C6D37">
            <w:pPr>
              <w:spacing w:after="0" w:line="240" w:lineRule="auto"/>
              <w:jc w:val="center"/>
              <w:rPr>
                <w:rFonts w:asciiTheme="minorHAnsi" w:hAnsiTheme="minorHAnsi" w:cstheme="minorHAnsi"/>
                <w:b/>
                <w:color w:val="000000"/>
                <w:sz w:val="16"/>
                <w:lang w:eastAsia="es-MX"/>
              </w:rPr>
            </w:pPr>
            <w:r w:rsidRPr="002150BE">
              <w:rPr>
                <w:rFonts w:asciiTheme="minorHAnsi" w:hAnsiTheme="minorHAnsi" w:cstheme="minorHAnsi"/>
                <w:b/>
                <w:color w:val="000000"/>
                <w:sz w:val="16"/>
                <w:lang w:eastAsia="es-MX"/>
              </w:rPr>
              <w:t>Tipo de Evaluación:</w:t>
            </w:r>
          </w:p>
        </w:tc>
        <w:tc>
          <w:tcPr>
            <w:tcW w:w="1367" w:type="pct"/>
            <w:gridSpan w:val="5"/>
            <w:noWrap/>
            <w:vAlign w:val="center"/>
          </w:tcPr>
          <w:p w14:paraId="37C428DE" w14:textId="77777777" w:rsidR="007C6D37" w:rsidRPr="002150BE" w:rsidRDefault="00084374" w:rsidP="007C6D37">
            <w:pPr>
              <w:spacing w:after="0" w:line="240" w:lineRule="auto"/>
              <w:jc w:val="center"/>
              <w:rPr>
                <w:rFonts w:asciiTheme="minorHAnsi" w:hAnsiTheme="minorHAnsi" w:cstheme="minorHAnsi"/>
                <w:color w:val="000000"/>
                <w:sz w:val="16"/>
                <w:lang w:eastAsia="es-MX"/>
              </w:rPr>
            </w:pPr>
            <w:r w:rsidRPr="002150BE">
              <w:rPr>
                <w:rFonts w:asciiTheme="minorHAnsi" w:hAnsiTheme="minorHAnsi" w:cstheme="minorHAnsi"/>
                <w:color w:val="000000"/>
                <w:sz w:val="16"/>
                <w:lang w:eastAsia="es-MX"/>
              </w:rPr>
              <w:t>diseño</w:t>
            </w:r>
          </w:p>
        </w:tc>
        <w:tc>
          <w:tcPr>
            <w:tcW w:w="1580" w:type="pct"/>
            <w:gridSpan w:val="4"/>
            <w:shd w:val="clear" w:color="auto" w:fill="D9D9D9" w:themeFill="background1" w:themeFillShade="D9"/>
            <w:vAlign w:val="center"/>
            <w:hideMark/>
          </w:tcPr>
          <w:p w14:paraId="7B60A8BB" w14:textId="77777777" w:rsidR="007C6D37" w:rsidRPr="002150BE" w:rsidRDefault="007C6D37" w:rsidP="007C6D37">
            <w:pPr>
              <w:spacing w:after="0" w:line="240" w:lineRule="auto"/>
              <w:jc w:val="center"/>
              <w:rPr>
                <w:rFonts w:asciiTheme="minorHAnsi" w:hAnsiTheme="minorHAnsi" w:cstheme="minorHAnsi"/>
                <w:b/>
                <w:color w:val="000000"/>
                <w:sz w:val="16"/>
                <w:lang w:eastAsia="es-MX"/>
              </w:rPr>
            </w:pPr>
            <w:r w:rsidRPr="002150BE">
              <w:rPr>
                <w:rFonts w:asciiTheme="minorHAnsi" w:hAnsiTheme="minorHAnsi" w:cstheme="minorHAnsi"/>
                <w:b/>
                <w:color w:val="000000"/>
                <w:sz w:val="16"/>
                <w:lang w:eastAsia="es-MX"/>
              </w:rPr>
              <w:t>Año de la Evaluación:</w:t>
            </w:r>
          </w:p>
        </w:tc>
        <w:tc>
          <w:tcPr>
            <w:tcW w:w="702" w:type="pct"/>
            <w:noWrap/>
            <w:vAlign w:val="center"/>
            <w:hideMark/>
          </w:tcPr>
          <w:p w14:paraId="46361734" w14:textId="77777777" w:rsidR="007C6D37" w:rsidRPr="002150BE" w:rsidRDefault="00084374" w:rsidP="007C6D37">
            <w:pPr>
              <w:spacing w:after="0" w:line="240" w:lineRule="auto"/>
              <w:jc w:val="center"/>
              <w:rPr>
                <w:rFonts w:asciiTheme="minorHAnsi" w:hAnsiTheme="minorHAnsi" w:cstheme="minorHAnsi"/>
                <w:color w:val="000000"/>
                <w:sz w:val="16"/>
                <w:lang w:eastAsia="es-MX"/>
              </w:rPr>
            </w:pPr>
            <w:r w:rsidRPr="002150BE">
              <w:rPr>
                <w:rFonts w:asciiTheme="minorHAnsi" w:hAnsiTheme="minorHAnsi" w:cstheme="minorHAnsi"/>
                <w:color w:val="000000"/>
                <w:sz w:val="16"/>
                <w:lang w:eastAsia="es-MX"/>
              </w:rPr>
              <w:t>2024</w:t>
            </w:r>
          </w:p>
        </w:tc>
      </w:tr>
      <w:tr w:rsidR="007C6D37" w:rsidRPr="002150BE" w14:paraId="4A31C2D1" w14:textId="77777777" w:rsidTr="00FC6B42">
        <w:trPr>
          <w:trHeight w:val="832"/>
        </w:trPr>
        <w:tc>
          <w:tcPr>
            <w:tcW w:w="5000" w:type="pct"/>
            <w:gridSpan w:val="12"/>
            <w:vAlign w:val="center"/>
            <w:hideMark/>
          </w:tcPr>
          <w:p w14:paraId="391A8A20" w14:textId="77777777" w:rsidR="007C6D37" w:rsidRPr="002150BE" w:rsidRDefault="007C6D37" w:rsidP="007C6D37">
            <w:pPr>
              <w:spacing w:after="0" w:line="240" w:lineRule="auto"/>
              <w:jc w:val="center"/>
              <w:rPr>
                <w:rFonts w:asciiTheme="minorHAnsi" w:hAnsiTheme="minorHAnsi" w:cstheme="minorHAnsi"/>
                <w:color w:val="000000"/>
                <w:sz w:val="16"/>
                <w:lang w:eastAsia="es-MX"/>
              </w:rPr>
            </w:pPr>
            <w:r w:rsidRPr="002150BE">
              <w:rPr>
                <w:rFonts w:asciiTheme="minorHAnsi" w:hAnsiTheme="minorHAnsi" w:cstheme="minorHAnsi"/>
                <w:color w:val="000000"/>
                <w:sz w:val="16"/>
                <w:lang w:eastAsia="es-MX"/>
              </w:rPr>
              <w:t>A fin de aportar claridad en el presente anexo, se retomarán las definiciones conceptuales de las Poblaciones Potencial, Objetivo y Atendida, incluidas en la pregunta 8 de estos TdR, ya sean las definidas por el Pp o en ausencia de estas, las que definió la instancia evaluadora como parte de su respuesta, en consenso con el Pp.</w:t>
            </w:r>
          </w:p>
        </w:tc>
      </w:tr>
      <w:tr w:rsidR="007C6D37" w:rsidRPr="002150BE" w14:paraId="46E85F16" w14:textId="77777777" w:rsidTr="00FC6B42">
        <w:trPr>
          <w:trHeight w:val="329"/>
        </w:trPr>
        <w:tc>
          <w:tcPr>
            <w:tcW w:w="5000" w:type="pct"/>
            <w:gridSpan w:val="12"/>
            <w:shd w:val="clear" w:color="auto" w:fill="7F7F7F" w:themeFill="text1" w:themeFillTint="80"/>
            <w:noWrap/>
            <w:vAlign w:val="center"/>
            <w:hideMark/>
          </w:tcPr>
          <w:p w14:paraId="720BB9EB" w14:textId="77777777" w:rsidR="007C6D37" w:rsidRPr="002150BE" w:rsidRDefault="007C6D37" w:rsidP="007C6D37">
            <w:pPr>
              <w:spacing w:after="0" w:line="240" w:lineRule="auto"/>
              <w:jc w:val="center"/>
              <w:rPr>
                <w:rFonts w:asciiTheme="minorHAnsi" w:hAnsiTheme="minorHAnsi" w:cstheme="minorHAnsi"/>
                <w:b/>
                <w:color w:val="FFFFFF" w:themeColor="background1"/>
                <w:sz w:val="16"/>
                <w:lang w:eastAsia="es-MX"/>
              </w:rPr>
            </w:pPr>
            <w:r w:rsidRPr="002150BE">
              <w:rPr>
                <w:rFonts w:asciiTheme="minorHAnsi" w:hAnsiTheme="minorHAnsi" w:cstheme="minorHAnsi"/>
                <w:b/>
                <w:color w:val="FFFFFF" w:themeColor="background1"/>
                <w:sz w:val="16"/>
                <w:lang w:eastAsia="es-MX"/>
              </w:rPr>
              <w:t>Poblaciones Potencial, Objetivo y Atendida</w:t>
            </w:r>
          </w:p>
        </w:tc>
      </w:tr>
      <w:tr w:rsidR="007C6D37" w:rsidRPr="002150BE" w14:paraId="05D8F992" w14:textId="77777777" w:rsidTr="005B2BFF">
        <w:trPr>
          <w:trHeight w:val="584"/>
        </w:trPr>
        <w:tc>
          <w:tcPr>
            <w:tcW w:w="1352" w:type="pct"/>
            <w:gridSpan w:val="2"/>
            <w:shd w:val="clear" w:color="auto" w:fill="D9D9D9" w:themeFill="background1" w:themeFillShade="D9"/>
            <w:vAlign w:val="center"/>
            <w:hideMark/>
          </w:tcPr>
          <w:p w14:paraId="5B94AC6D" w14:textId="77777777" w:rsidR="007C6D37" w:rsidRPr="002150BE" w:rsidRDefault="007C6D37" w:rsidP="007C6D37">
            <w:pPr>
              <w:spacing w:after="0" w:line="240" w:lineRule="auto"/>
              <w:jc w:val="center"/>
              <w:rPr>
                <w:rFonts w:asciiTheme="minorHAnsi" w:hAnsiTheme="minorHAnsi" w:cstheme="minorHAnsi"/>
                <w:b/>
                <w:sz w:val="16"/>
                <w:lang w:eastAsia="es-MX"/>
              </w:rPr>
            </w:pPr>
            <w:r w:rsidRPr="002150BE">
              <w:rPr>
                <w:rFonts w:asciiTheme="minorHAnsi" w:hAnsiTheme="minorHAnsi" w:cstheme="minorHAnsi"/>
                <w:b/>
                <w:sz w:val="16"/>
                <w:lang w:eastAsia="es-MX"/>
              </w:rPr>
              <w:t>Población</w:t>
            </w:r>
          </w:p>
        </w:tc>
        <w:tc>
          <w:tcPr>
            <w:tcW w:w="241" w:type="pct"/>
            <w:shd w:val="clear" w:color="auto" w:fill="D9D9D9" w:themeFill="background1" w:themeFillShade="D9"/>
            <w:vAlign w:val="center"/>
            <w:hideMark/>
          </w:tcPr>
          <w:p w14:paraId="71A7BED7" w14:textId="77777777" w:rsidR="007C6D37" w:rsidRPr="002150BE" w:rsidRDefault="007C6D37" w:rsidP="007C6D37">
            <w:pPr>
              <w:spacing w:after="0" w:line="240" w:lineRule="auto"/>
              <w:jc w:val="center"/>
              <w:rPr>
                <w:rFonts w:asciiTheme="minorHAnsi" w:hAnsiTheme="minorHAnsi" w:cstheme="minorHAnsi"/>
                <w:b/>
                <w:sz w:val="16"/>
                <w:lang w:eastAsia="es-MX"/>
              </w:rPr>
            </w:pPr>
          </w:p>
        </w:tc>
        <w:tc>
          <w:tcPr>
            <w:tcW w:w="3407" w:type="pct"/>
            <w:gridSpan w:val="9"/>
            <w:shd w:val="clear" w:color="auto" w:fill="D9D9D9" w:themeFill="background1" w:themeFillShade="D9"/>
            <w:vAlign w:val="center"/>
            <w:hideMark/>
          </w:tcPr>
          <w:p w14:paraId="4B5137DD" w14:textId="77777777" w:rsidR="007C6D37" w:rsidRPr="002150BE" w:rsidRDefault="007C6D37" w:rsidP="007C6D37">
            <w:pPr>
              <w:spacing w:after="0" w:line="240" w:lineRule="auto"/>
              <w:jc w:val="center"/>
              <w:rPr>
                <w:rFonts w:asciiTheme="minorHAnsi" w:hAnsiTheme="minorHAnsi" w:cstheme="minorHAnsi"/>
                <w:b/>
                <w:sz w:val="16"/>
                <w:lang w:eastAsia="es-MX"/>
              </w:rPr>
            </w:pPr>
            <w:r w:rsidRPr="002150BE">
              <w:rPr>
                <w:rFonts w:asciiTheme="minorHAnsi" w:hAnsiTheme="minorHAnsi" w:cstheme="minorHAnsi"/>
                <w:b/>
                <w:sz w:val="16"/>
                <w:lang w:eastAsia="es-MX"/>
              </w:rPr>
              <w:t>Definición</w:t>
            </w:r>
          </w:p>
        </w:tc>
      </w:tr>
      <w:tr w:rsidR="007C6D37" w:rsidRPr="002150BE" w14:paraId="5E4FE56D" w14:textId="77777777" w:rsidTr="005B2BFF">
        <w:trPr>
          <w:trHeight w:val="359"/>
        </w:trPr>
        <w:tc>
          <w:tcPr>
            <w:tcW w:w="1352" w:type="pct"/>
            <w:gridSpan w:val="2"/>
            <w:vAlign w:val="center"/>
            <w:hideMark/>
          </w:tcPr>
          <w:p w14:paraId="6FEB192C" w14:textId="77777777" w:rsidR="007C6D37" w:rsidRPr="002150BE" w:rsidRDefault="007C6D37" w:rsidP="007C6D37">
            <w:pPr>
              <w:spacing w:after="0" w:line="240" w:lineRule="auto"/>
              <w:jc w:val="center"/>
              <w:rPr>
                <w:rFonts w:asciiTheme="minorHAnsi" w:hAnsiTheme="minorHAnsi" w:cstheme="minorHAnsi"/>
                <w:b/>
                <w:sz w:val="16"/>
                <w:lang w:eastAsia="es-MX"/>
              </w:rPr>
            </w:pPr>
            <w:r w:rsidRPr="002150BE">
              <w:rPr>
                <w:rFonts w:asciiTheme="minorHAnsi" w:hAnsiTheme="minorHAnsi" w:cstheme="minorHAnsi"/>
                <w:b/>
                <w:sz w:val="16"/>
                <w:lang w:eastAsia="es-MX"/>
              </w:rPr>
              <w:t>Potencial (PP)</w:t>
            </w:r>
          </w:p>
        </w:tc>
        <w:tc>
          <w:tcPr>
            <w:tcW w:w="241" w:type="pct"/>
            <w:vAlign w:val="center"/>
            <w:hideMark/>
          </w:tcPr>
          <w:p w14:paraId="2931A399" w14:textId="77777777" w:rsidR="007C6D37" w:rsidRPr="002150BE" w:rsidRDefault="007C6D37" w:rsidP="007C6D37">
            <w:pPr>
              <w:spacing w:after="0" w:line="240" w:lineRule="auto"/>
              <w:jc w:val="center"/>
              <w:rPr>
                <w:rFonts w:asciiTheme="minorHAnsi" w:hAnsiTheme="minorHAnsi" w:cstheme="minorHAnsi"/>
                <w:sz w:val="16"/>
                <w:lang w:eastAsia="es-MX"/>
              </w:rPr>
            </w:pPr>
          </w:p>
        </w:tc>
        <w:tc>
          <w:tcPr>
            <w:tcW w:w="3407" w:type="pct"/>
            <w:gridSpan w:val="9"/>
            <w:vAlign w:val="center"/>
            <w:hideMark/>
          </w:tcPr>
          <w:p w14:paraId="705DECBC" w14:textId="77777777" w:rsidR="007C6D37" w:rsidRPr="002150BE" w:rsidRDefault="00084374" w:rsidP="005B2BFF">
            <w:pPr>
              <w:spacing w:after="0" w:line="276" w:lineRule="auto"/>
              <w:rPr>
                <w:rFonts w:asciiTheme="minorHAnsi" w:hAnsiTheme="minorHAnsi" w:cstheme="minorHAnsi"/>
                <w:sz w:val="16"/>
                <w:lang w:eastAsia="es-MX"/>
              </w:rPr>
            </w:pPr>
            <w:r w:rsidRPr="002150BE">
              <w:rPr>
                <w:rFonts w:asciiTheme="minorHAnsi" w:hAnsiTheme="minorHAnsi" w:cstheme="minorHAnsi"/>
                <w:sz w:val="16"/>
                <w:lang w:eastAsia="es-MX"/>
              </w:rPr>
              <w:t>Personas habitantes del estado de Sinaloa cuyo máximo nivel de escolaridad es bachillerato o preparatoria (egresados de Educación Media Superior), que en términos del marco constitucional y de la Ley General de Educación Superior tienen derecho a acceder a estudios de educación superior. Se toma como referencia el universo estatal reportado por INEGI para personas con este nivel educativo, utilizado en el diagnóstico del Pp.</w:t>
            </w:r>
          </w:p>
        </w:tc>
      </w:tr>
      <w:tr w:rsidR="007C6D37" w:rsidRPr="002150BE" w14:paraId="0CF2C17A" w14:textId="77777777" w:rsidTr="005B2BFF">
        <w:trPr>
          <w:trHeight w:val="359"/>
        </w:trPr>
        <w:tc>
          <w:tcPr>
            <w:tcW w:w="1352" w:type="pct"/>
            <w:gridSpan w:val="2"/>
            <w:vAlign w:val="center"/>
            <w:hideMark/>
          </w:tcPr>
          <w:p w14:paraId="3A216DA0" w14:textId="77777777" w:rsidR="007C6D37" w:rsidRPr="002150BE" w:rsidRDefault="007C6D37" w:rsidP="007C6D37">
            <w:pPr>
              <w:spacing w:after="0" w:line="240" w:lineRule="auto"/>
              <w:jc w:val="center"/>
              <w:rPr>
                <w:rFonts w:asciiTheme="minorHAnsi" w:hAnsiTheme="minorHAnsi" w:cstheme="minorHAnsi"/>
                <w:b/>
                <w:sz w:val="16"/>
                <w:lang w:eastAsia="es-MX"/>
              </w:rPr>
            </w:pPr>
            <w:r w:rsidRPr="002150BE">
              <w:rPr>
                <w:rFonts w:asciiTheme="minorHAnsi" w:hAnsiTheme="minorHAnsi" w:cstheme="minorHAnsi"/>
                <w:b/>
                <w:sz w:val="16"/>
                <w:lang w:eastAsia="es-MX"/>
              </w:rPr>
              <w:t>Objetivo (PO)</w:t>
            </w:r>
          </w:p>
        </w:tc>
        <w:tc>
          <w:tcPr>
            <w:tcW w:w="241" w:type="pct"/>
            <w:vAlign w:val="center"/>
            <w:hideMark/>
          </w:tcPr>
          <w:p w14:paraId="2F776399" w14:textId="77777777" w:rsidR="007C6D37" w:rsidRPr="002150BE" w:rsidRDefault="007C6D37" w:rsidP="007C6D37">
            <w:pPr>
              <w:spacing w:after="0" w:line="240" w:lineRule="auto"/>
              <w:jc w:val="center"/>
              <w:rPr>
                <w:rFonts w:asciiTheme="minorHAnsi" w:hAnsiTheme="minorHAnsi" w:cstheme="minorHAnsi"/>
                <w:sz w:val="16"/>
                <w:lang w:eastAsia="es-MX"/>
              </w:rPr>
            </w:pPr>
          </w:p>
        </w:tc>
        <w:tc>
          <w:tcPr>
            <w:tcW w:w="3407" w:type="pct"/>
            <w:gridSpan w:val="9"/>
            <w:vAlign w:val="center"/>
            <w:hideMark/>
          </w:tcPr>
          <w:p w14:paraId="1234C192" w14:textId="77777777" w:rsidR="007C6D37" w:rsidRPr="002150BE" w:rsidRDefault="00084374" w:rsidP="005B2BFF">
            <w:pPr>
              <w:spacing w:after="0" w:line="276" w:lineRule="auto"/>
              <w:rPr>
                <w:rFonts w:asciiTheme="minorHAnsi" w:hAnsiTheme="minorHAnsi" w:cstheme="minorHAnsi"/>
                <w:sz w:val="16"/>
                <w:lang w:eastAsia="es-MX"/>
              </w:rPr>
            </w:pPr>
            <w:r w:rsidRPr="002150BE">
              <w:rPr>
                <w:rFonts w:asciiTheme="minorHAnsi" w:hAnsiTheme="minorHAnsi" w:cstheme="minorHAnsi"/>
                <w:sz w:val="16"/>
                <w:lang w:eastAsia="es-MX"/>
              </w:rPr>
              <w:t>Egresados de Educación Media Superior de los últimos tres años que residen en la zona de influencia de la Universidad Tecnológica de Culiacán (municipios de Culiacán, Navolato, Mocorito, Elota y El Dorado) y que demandan o pueden demandar programas de Técnico Superior Universitario, licenciatura/ingeniería o posgrado impartidos por la entidad evaluada. Ante la ausencia de una cuantificación desagregada por municipio, se operacionaliza la PO como la “matrícula objetivo” de la UTC por ciclo escolar, coherente con el objetivo general del Pp.</w:t>
            </w:r>
          </w:p>
        </w:tc>
      </w:tr>
      <w:tr w:rsidR="007C6D37" w:rsidRPr="002150BE" w14:paraId="2E368923" w14:textId="77777777" w:rsidTr="005B2BFF">
        <w:trPr>
          <w:trHeight w:val="359"/>
        </w:trPr>
        <w:tc>
          <w:tcPr>
            <w:tcW w:w="1352" w:type="pct"/>
            <w:gridSpan w:val="2"/>
            <w:vAlign w:val="center"/>
            <w:hideMark/>
          </w:tcPr>
          <w:p w14:paraId="57F52B14" w14:textId="77777777" w:rsidR="007C6D37" w:rsidRPr="002150BE" w:rsidRDefault="007C6D37" w:rsidP="007C6D37">
            <w:pPr>
              <w:spacing w:after="0" w:line="240" w:lineRule="auto"/>
              <w:jc w:val="center"/>
              <w:rPr>
                <w:rFonts w:asciiTheme="minorHAnsi" w:hAnsiTheme="minorHAnsi" w:cstheme="minorHAnsi"/>
                <w:b/>
                <w:sz w:val="16"/>
                <w:lang w:eastAsia="es-MX"/>
              </w:rPr>
            </w:pPr>
            <w:r w:rsidRPr="002150BE">
              <w:rPr>
                <w:rFonts w:asciiTheme="minorHAnsi" w:hAnsiTheme="minorHAnsi" w:cstheme="minorHAnsi"/>
                <w:b/>
                <w:sz w:val="16"/>
                <w:lang w:eastAsia="es-MX"/>
              </w:rPr>
              <w:t>Atendida (PA)</w:t>
            </w:r>
          </w:p>
        </w:tc>
        <w:tc>
          <w:tcPr>
            <w:tcW w:w="241" w:type="pct"/>
            <w:vAlign w:val="center"/>
            <w:hideMark/>
          </w:tcPr>
          <w:p w14:paraId="73827C39" w14:textId="77777777" w:rsidR="007C6D37" w:rsidRPr="002150BE" w:rsidRDefault="007C6D37" w:rsidP="007C6D37">
            <w:pPr>
              <w:spacing w:after="0" w:line="240" w:lineRule="auto"/>
              <w:jc w:val="center"/>
              <w:rPr>
                <w:rFonts w:asciiTheme="minorHAnsi" w:hAnsiTheme="minorHAnsi" w:cstheme="minorHAnsi"/>
                <w:sz w:val="16"/>
                <w:lang w:eastAsia="es-MX"/>
              </w:rPr>
            </w:pPr>
          </w:p>
        </w:tc>
        <w:tc>
          <w:tcPr>
            <w:tcW w:w="3407" w:type="pct"/>
            <w:gridSpan w:val="9"/>
            <w:vAlign w:val="center"/>
            <w:hideMark/>
          </w:tcPr>
          <w:p w14:paraId="6FE48E5D" w14:textId="77777777" w:rsidR="007C6D37" w:rsidRPr="002150BE" w:rsidRDefault="00084374" w:rsidP="005B2BFF">
            <w:pPr>
              <w:spacing w:after="0" w:line="276" w:lineRule="auto"/>
              <w:rPr>
                <w:rFonts w:asciiTheme="minorHAnsi" w:hAnsiTheme="minorHAnsi" w:cstheme="minorHAnsi"/>
                <w:sz w:val="16"/>
                <w:lang w:eastAsia="es-MX"/>
              </w:rPr>
            </w:pPr>
            <w:r w:rsidRPr="002150BE">
              <w:rPr>
                <w:rFonts w:asciiTheme="minorHAnsi" w:hAnsiTheme="minorHAnsi" w:cstheme="minorHAnsi"/>
                <w:sz w:val="16"/>
                <w:lang w:eastAsia="es-MX"/>
              </w:rPr>
              <w:t>Estudiantes efectivamente inscritos en los programas de TSU y licenciatura/ingeniería de la UTC (matrícula de inicio de ciclo escolar), de acuerdo con la información oficial reportada en el Formato 911 y en los informes cuatrimestrales de actividades sustantivas de 2022-2024 y la proyección de matrícula para el ciclo 2025-2026.</w:t>
            </w:r>
          </w:p>
        </w:tc>
      </w:tr>
      <w:tr w:rsidR="007C6D37" w:rsidRPr="002150BE" w14:paraId="5FE2C8CC" w14:textId="77777777" w:rsidTr="00FC6B42">
        <w:trPr>
          <w:trHeight w:val="314"/>
        </w:trPr>
        <w:tc>
          <w:tcPr>
            <w:tcW w:w="5000" w:type="pct"/>
            <w:gridSpan w:val="12"/>
            <w:shd w:val="clear" w:color="auto" w:fill="7F7F7F" w:themeFill="text1" w:themeFillTint="80"/>
            <w:noWrap/>
            <w:vAlign w:val="center"/>
            <w:hideMark/>
          </w:tcPr>
          <w:p w14:paraId="7D37C739" w14:textId="77777777" w:rsidR="007C6D37" w:rsidRPr="002150BE" w:rsidRDefault="007C6D37" w:rsidP="007C6D37">
            <w:pPr>
              <w:spacing w:after="0" w:line="240" w:lineRule="auto"/>
              <w:jc w:val="center"/>
              <w:rPr>
                <w:rFonts w:asciiTheme="minorHAnsi" w:hAnsiTheme="minorHAnsi" w:cstheme="minorHAnsi"/>
                <w:b/>
                <w:color w:val="FFFFFF" w:themeColor="background1"/>
                <w:sz w:val="16"/>
                <w:lang w:eastAsia="es-MX"/>
              </w:rPr>
            </w:pPr>
            <w:r w:rsidRPr="002150BE">
              <w:rPr>
                <w:rFonts w:asciiTheme="minorHAnsi" w:hAnsiTheme="minorHAnsi" w:cstheme="minorHAnsi"/>
                <w:b/>
                <w:color w:val="FFFFFF" w:themeColor="background1"/>
                <w:sz w:val="16"/>
                <w:lang w:eastAsia="es-MX"/>
              </w:rPr>
              <w:t>Evolución de la cobertura</w:t>
            </w:r>
          </w:p>
        </w:tc>
      </w:tr>
      <w:tr w:rsidR="007C6D37" w:rsidRPr="002150BE" w14:paraId="2D576AFA" w14:textId="77777777" w:rsidTr="005B2BFF">
        <w:trPr>
          <w:trHeight w:val="584"/>
        </w:trPr>
        <w:tc>
          <w:tcPr>
            <w:tcW w:w="805" w:type="pct"/>
            <w:shd w:val="clear" w:color="auto" w:fill="D9D9D9" w:themeFill="background1" w:themeFillShade="D9"/>
            <w:vAlign w:val="center"/>
            <w:hideMark/>
          </w:tcPr>
          <w:p w14:paraId="1A3E13F3" w14:textId="77777777" w:rsidR="007C6D37" w:rsidRPr="002150BE" w:rsidRDefault="007C6D37" w:rsidP="007C6D37">
            <w:pPr>
              <w:spacing w:after="0" w:line="240" w:lineRule="auto"/>
              <w:jc w:val="center"/>
              <w:rPr>
                <w:rFonts w:asciiTheme="minorHAnsi" w:hAnsiTheme="minorHAnsi" w:cstheme="minorHAnsi"/>
                <w:b/>
                <w:sz w:val="16"/>
                <w:lang w:eastAsia="es-MX"/>
              </w:rPr>
            </w:pPr>
            <w:r w:rsidRPr="002150BE">
              <w:rPr>
                <w:rFonts w:asciiTheme="minorHAnsi" w:hAnsiTheme="minorHAnsi" w:cstheme="minorHAnsi"/>
                <w:b/>
                <w:sz w:val="16"/>
                <w:lang w:eastAsia="es-MX"/>
              </w:rPr>
              <w:t>Población</w:t>
            </w:r>
          </w:p>
        </w:tc>
        <w:tc>
          <w:tcPr>
            <w:tcW w:w="788" w:type="pct"/>
            <w:gridSpan w:val="2"/>
            <w:shd w:val="clear" w:color="auto" w:fill="D9D9D9" w:themeFill="background1" w:themeFillShade="D9"/>
            <w:vAlign w:val="center"/>
            <w:hideMark/>
          </w:tcPr>
          <w:p w14:paraId="5A9022F3" w14:textId="77777777" w:rsidR="007C6D37" w:rsidRPr="002150BE" w:rsidRDefault="007C6D37" w:rsidP="007C6D37">
            <w:pPr>
              <w:spacing w:after="0" w:line="240" w:lineRule="auto"/>
              <w:jc w:val="center"/>
              <w:rPr>
                <w:rFonts w:asciiTheme="minorHAnsi" w:hAnsiTheme="minorHAnsi" w:cstheme="minorHAnsi"/>
                <w:b/>
                <w:sz w:val="16"/>
                <w:lang w:eastAsia="es-MX"/>
              </w:rPr>
            </w:pPr>
            <w:r w:rsidRPr="002150BE">
              <w:rPr>
                <w:rFonts w:asciiTheme="minorHAnsi" w:hAnsiTheme="minorHAnsi" w:cstheme="minorHAnsi"/>
                <w:b/>
                <w:sz w:val="16"/>
                <w:lang w:eastAsia="es-MX"/>
              </w:rPr>
              <w:t>Unidad de medida</w:t>
            </w:r>
          </w:p>
        </w:tc>
        <w:tc>
          <w:tcPr>
            <w:tcW w:w="902" w:type="pct"/>
            <w:gridSpan w:val="3"/>
            <w:shd w:val="clear" w:color="auto" w:fill="D9D9D9" w:themeFill="background1" w:themeFillShade="D9"/>
            <w:vAlign w:val="center"/>
            <w:hideMark/>
          </w:tcPr>
          <w:p w14:paraId="66999DAA" w14:textId="77777777" w:rsidR="007C6D37" w:rsidRPr="002150BE" w:rsidRDefault="00351D39" w:rsidP="007C6D37">
            <w:pPr>
              <w:spacing w:after="0" w:line="240" w:lineRule="auto"/>
              <w:jc w:val="center"/>
              <w:rPr>
                <w:rFonts w:asciiTheme="minorHAnsi" w:hAnsiTheme="minorHAnsi" w:cstheme="minorHAnsi"/>
                <w:b/>
                <w:sz w:val="16"/>
                <w:lang w:eastAsia="es-MX"/>
              </w:rPr>
            </w:pPr>
            <w:r w:rsidRPr="002150BE">
              <w:rPr>
                <w:rFonts w:asciiTheme="minorHAnsi" w:hAnsiTheme="minorHAnsi" w:cstheme="minorHAnsi"/>
                <w:b/>
                <w:sz w:val="16"/>
                <w:lang w:eastAsia="es-MX"/>
              </w:rPr>
              <w:t>2025</w:t>
            </w:r>
          </w:p>
        </w:tc>
        <w:tc>
          <w:tcPr>
            <w:tcW w:w="878" w:type="pct"/>
            <w:gridSpan w:val="3"/>
            <w:shd w:val="clear" w:color="auto" w:fill="D9D9D9" w:themeFill="background1" w:themeFillShade="D9"/>
            <w:vAlign w:val="center"/>
            <w:hideMark/>
          </w:tcPr>
          <w:p w14:paraId="2E427759" w14:textId="77777777" w:rsidR="007C6D37" w:rsidRPr="002150BE" w:rsidRDefault="00351D39" w:rsidP="007C6D37">
            <w:pPr>
              <w:spacing w:after="0" w:line="240" w:lineRule="auto"/>
              <w:jc w:val="center"/>
              <w:rPr>
                <w:rFonts w:asciiTheme="minorHAnsi" w:hAnsiTheme="minorHAnsi" w:cstheme="minorHAnsi"/>
                <w:b/>
                <w:sz w:val="16"/>
                <w:lang w:eastAsia="es-MX"/>
              </w:rPr>
            </w:pPr>
            <w:r w:rsidRPr="002150BE">
              <w:rPr>
                <w:rFonts w:asciiTheme="minorHAnsi" w:hAnsiTheme="minorHAnsi" w:cstheme="minorHAnsi"/>
                <w:b/>
                <w:sz w:val="16"/>
                <w:lang w:eastAsia="es-MX"/>
              </w:rPr>
              <w:t>2024</w:t>
            </w:r>
          </w:p>
        </w:tc>
        <w:tc>
          <w:tcPr>
            <w:tcW w:w="803" w:type="pct"/>
            <w:shd w:val="clear" w:color="auto" w:fill="D9D9D9" w:themeFill="background1" w:themeFillShade="D9"/>
            <w:vAlign w:val="center"/>
            <w:hideMark/>
          </w:tcPr>
          <w:p w14:paraId="46E95D16" w14:textId="77777777" w:rsidR="007C6D37" w:rsidRPr="002150BE" w:rsidRDefault="00351D39" w:rsidP="007C6D37">
            <w:pPr>
              <w:spacing w:after="0" w:line="240" w:lineRule="auto"/>
              <w:jc w:val="center"/>
              <w:rPr>
                <w:rFonts w:asciiTheme="minorHAnsi" w:hAnsiTheme="minorHAnsi" w:cstheme="minorHAnsi"/>
                <w:b/>
                <w:sz w:val="16"/>
                <w:lang w:eastAsia="es-MX"/>
              </w:rPr>
            </w:pPr>
            <w:r w:rsidRPr="002150BE">
              <w:rPr>
                <w:rFonts w:asciiTheme="minorHAnsi" w:hAnsiTheme="minorHAnsi" w:cstheme="minorHAnsi"/>
                <w:b/>
                <w:sz w:val="16"/>
                <w:lang w:eastAsia="es-MX"/>
              </w:rPr>
              <w:t>2023</w:t>
            </w:r>
          </w:p>
        </w:tc>
        <w:tc>
          <w:tcPr>
            <w:tcW w:w="824" w:type="pct"/>
            <w:gridSpan w:val="2"/>
            <w:shd w:val="clear" w:color="auto" w:fill="D9D9D9" w:themeFill="background1" w:themeFillShade="D9"/>
            <w:vAlign w:val="center"/>
            <w:hideMark/>
          </w:tcPr>
          <w:p w14:paraId="01A4E0F9" w14:textId="77777777" w:rsidR="007C6D37" w:rsidRPr="002150BE" w:rsidRDefault="00351D39" w:rsidP="007C6D37">
            <w:pPr>
              <w:spacing w:after="0" w:line="240" w:lineRule="auto"/>
              <w:jc w:val="center"/>
              <w:rPr>
                <w:rFonts w:asciiTheme="minorHAnsi" w:hAnsiTheme="minorHAnsi" w:cstheme="minorHAnsi"/>
                <w:b/>
                <w:sz w:val="16"/>
                <w:lang w:eastAsia="es-MX"/>
              </w:rPr>
            </w:pPr>
            <w:r w:rsidRPr="002150BE">
              <w:rPr>
                <w:rFonts w:asciiTheme="minorHAnsi" w:hAnsiTheme="minorHAnsi" w:cstheme="minorHAnsi"/>
                <w:b/>
                <w:sz w:val="16"/>
                <w:lang w:eastAsia="es-MX"/>
              </w:rPr>
              <w:t>2022</w:t>
            </w:r>
          </w:p>
        </w:tc>
      </w:tr>
      <w:tr w:rsidR="007C6D37" w:rsidRPr="002150BE" w14:paraId="78A7F2F0" w14:textId="77777777" w:rsidTr="005B2BFF">
        <w:trPr>
          <w:trHeight w:val="254"/>
        </w:trPr>
        <w:tc>
          <w:tcPr>
            <w:tcW w:w="805" w:type="pct"/>
            <w:vAlign w:val="center"/>
            <w:hideMark/>
          </w:tcPr>
          <w:p w14:paraId="0DAFCD58" w14:textId="77777777" w:rsidR="007C6D37" w:rsidRPr="002150BE" w:rsidRDefault="007C6D37" w:rsidP="007C6D37">
            <w:pPr>
              <w:spacing w:after="0" w:line="240" w:lineRule="auto"/>
              <w:jc w:val="center"/>
              <w:rPr>
                <w:rFonts w:asciiTheme="minorHAnsi" w:hAnsiTheme="minorHAnsi" w:cstheme="minorHAnsi"/>
                <w:b/>
                <w:sz w:val="16"/>
                <w:lang w:eastAsia="es-MX"/>
              </w:rPr>
            </w:pPr>
            <w:r w:rsidRPr="002150BE">
              <w:rPr>
                <w:rFonts w:asciiTheme="minorHAnsi" w:hAnsiTheme="minorHAnsi" w:cstheme="minorHAnsi"/>
                <w:b/>
                <w:sz w:val="16"/>
                <w:lang w:eastAsia="es-MX"/>
              </w:rPr>
              <w:t>Potencial (P)</w:t>
            </w:r>
          </w:p>
        </w:tc>
        <w:tc>
          <w:tcPr>
            <w:tcW w:w="788" w:type="pct"/>
            <w:gridSpan w:val="2"/>
            <w:vAlign w:val="center"/>
            <w:hideMark/>
          </w:tcPr>
          <w:p w14:paraId="2C6563C0" w14:textId="77777777" w:rsidR="007C6D37" w:rsidRPr="002150BE" w:rsidRDefault="00084374" w:rsidP="00084374">
            <w:pPr>
              <w:spacing w:after="0" w:line="240" w:lineRule="auto"/>
              <w:jc w:val="center"/>
              <w:rPr>
                <w:rFonts w:asciiTheme="minorHAnsi" w:hAnsiTheme="minorHAnsi" w:cstheme="minorHAnsi"/>
                <w:sz w:val="16"/>
                <w:lang w:eastAsia="es-MX"/>
              </w:rPr>
            </w:pPr>
            <w:r w:rsidRPr="002150BE">
              <w:rPr>
                <w:rFonts w:asciiTheme="minorHAnsi" w:hAnsiTheme="minorHAnsi" w:cstheme="minorHAnsi"/>
                <w:sz w:val="16"/>
                <w:lang w:eastAsia="es-MX"/>
              </w:rPr>
              <w:t>Personas (estado de Sinaloa con escolaridad de EMS)</w:t>
            </w:r>
          </w:p>
        </w:tc>
        <w:tc>
          <w:tcPr>
            <w:tcW w:w="902" w:type="pct"/>
            <w:gridSpan w:val="3"/>
            <w:vAlign w:val="center"/>
            <w:hideMark/>
          </w:tcPr>
          <w:p w14:paraId="48B0967A" w14:textId="77777777" w:rsidR="007C6D37" w:rsidRPr="002150BE" w:rsidRDefault="00084374" w:rsidP="00084374">
            <w:pPr>
              <w:spacing w:after="0" w:line="240" w:lineRule="auto"/>
              <w:jc w:val="center"/>
              <w:rPr>
                <w:rFonts w:asciiTheme="minorHAnsi" w:hAnsiTheme="minorHAnsi" w:cstheme="minorHAnsi"/>
                <w:sz w:val="16"/>
                <w:lang w:eastAsia="es-MX"/>
              </w:rPr>
            </w:pPr>
            <w:r w:rsidRPr="002150BE">
              <w:rPr>
                <w:rFonts w:asciiTheme="minorHAnsi" w:hAnsiTheme="minorHAnsi" w:cstheme="minorHAnsi"/>
                <w:sz w:val="16"/>
                <w:lang w:eastAsia="es-MX"/>
              </w:rPr>
              <w:t>537,410**</w:t>
            </w:r>
          </w:p>
        </w:tc>
        <w:tc>
          <w:tcPr>
            <w:tcW w:w="878" w:type="pct"/>
            <w:gridSpan w:val="3"/>
            <w:vAlign w:val="center"/>
            <w:hideMark/>
          </w:tcPr>
          <w:p w14:paraId="3989A0B9" w14:textId="77777777" w:rsidR="007C6D37" w:rsidRPr="002150BE" w:rsidRDefault="005B2BFF" w:rsidP="00084374">
            <w:pPr>
              <w:spacing w:after="0" w:line="240" w:lineRule="auto"/>
              <w:jc w:val="center"/>
              <w:rPr>
                <w:rFonts w:asciiTheme="minorHAnsi" w:hAnsiTheme="minorHAnsi" w:cstheme="minorHAnsi"/>
                <w:sz w:val="16"/>
                <w:lang w:eastAsia="es-MX"/>
              </w:rPr>
            </w:pPr>
            <w:r w:rsidRPr="002150BE">
              <w:rPr>
                <w:rFonts w:asciiTheme="minorHAnsi" w:hAnsiTheme="minorHAnsi" w:cstheme="minorHAnsi"/>
                <w:sz w:val="16"/>
                <w:lang w:eastAsia="es-MX"/>
              </w:rPr>
              <w:t>537,410**</w:t>
            </w:r>
          </w:p>
        </w:tc>
        <w:tc>
          <w:tcPr>
            <w:tcW w:w="803" w:type="pct"/>
            <w:vAlign w:val="center"/>
            <w:hideMark/>
          </w:tcPr>
          <w:p w14:paraId="6FE7A5A2" w14:textId="77777777" w:rsidR="007C6D37" w:rsidRPr="002150BE" w:rsidRDefault="005B2BFF" w:rsidP="00084374">
            <w:pPr>
              <w:spacing w:after="0" w:line="240" w:lineRule="auto"/>
              <w:jc w:val="center"/>
              <w:rPr>
                <w:rFonts w:asciiTheme="minorHAnsi" w:hAnsiTheme="minorHAnsi" w:cstheme="minorHAnsi"/>
                <w:sz w:val="16"/>
                <w:lang w:eastAsia="es-MX"/>
              </w:rPr>
            </w:pPr>
            <w:r w:rsidRPr="002150BE">
              <w:rPr>
                <w:rFonts w:asciiTheme="minorHAnsi" w:hAnsiTheme="minorHAnsi" w:cstheme="minorHAnsi"/>
                <w:sz w:val="16"/>
                <w:lang w:eastAsia="es-MX"/>
              </w:rPr>
              <w:t>537,410**</w:t>
            </w:r>
          </w:p>
        </w:tc>
        <w:tc>
          <w:tcPr>
            <w:tcW w:w="824" w:type="pct"/>
            <w:gridSpan w:val="2"/>
            <w:vAlign w:val="center"/>
            <w:hideMark/>
          </w:tcPr>
          <w:p w14:paraId="24CA1C2F" w14:textId="77777777" w:rsidR="007C6D37" w:rsidRPr="002150BE" w:rsidRDefault="005B2BFF" w:rsidP="00084374">
            <w:pPr>
              <w:spacing w:after="0" w:line="240" w:lineRule="auto"/>
              <w:jc w:val="center"/>
              <w:rPr>
                <w:rFonts w:asciiTheme="minorHAnsi" w:hAnsiTheme="minorHAnsi" w:cstheme="minorHAnsi"/>
                <w:sz w:val="16"/>
                <w:lang w:eastAsia="es-MX"/>
              </w:rPr>
            </w:pPr>
            <w:r w:rsidRPr="002150BE">
              <w:rPr>
                <w:rFonts w:asciiTheme="minorHAnsi" w:hAnsiTheme="minorHAnsi" w:cstheme="minorHAnsi"/>
                <w:sz w:val="16"/>
                <w:lang w:eastAsia="es-MX"/>
              </w:rPr>
              <w:t>537,410**</w:t>
            </w:r>
          </w:p>
        </w:tc>
      </w:tr>
      <w:tr w:rsidR="007C6D37" w:rsidRPr="002150BE" w14:paraId="54401B2C" w14:textId="77777777" w:rsidTr="005B2BFF">
        <w:trPr>
          <w:trHeight w:val="254"/>
        </w:trPr>
        <w:tc>
          <w:tcPr>
            <w:tcW w:w="805" w:type="pct"/>
            <w:vAlign w:val="center"/>
            <w:hideMark/>
          </w:tcPr>
          <w:p w14:paraId="5E1FE669" w14:textId="77777777" w:rsidR="007C6D37" w:rsidRPr="002150BE" w:rsidRDefault="007C6D37" w:rsidP="007C6D37">
            <w:pPr>
              <w:spacing w:after="0" w:line="240" w:lineRule="auto"/>
              <w:jc w:val="center"/>
              <w:rPr>
                <w:rFonts w:asciiTheme="minorHAnsi" w:hAnsiTheme="minorHAnsi" w:cstheme="minorHAnsi"/>
                <w:b/>
                <w:sz w:val="16"/>
                <w:lang w:eastAsia="es-MX"/>
              </w:rPr>
            </w:pPr>
            <w:r w:rsidRPr="002150BE">
              <w:rPr>
                <w:rFonts w:asciiTheme="minorHAnsi" w:hAnsiTheme="minorHAnsi" w:cstheme="minorHAnsi"/>
                <w:b/>
                <w:sz w:val="16"/>
                <w:lang w:eastAsia="es-MX"/>
              </w:rPr>
              <w:t>Objetivo (O)</w:t>
            </w:r>
          </w:p>
        </w:tc>
        <w:tc>
          <w:tcPr>
            <w:tcW w:w="788" w:type="pct"/>
            <w:gridSpan w:val="2"/>
            <w:vAlign w:val="center"/>
            <w:hideMark/>
          </w:tcPr>
          <w:p w14:paraId="08D7227D" w14:textId="77777777" w:rsidR="007C6D37" w:rsidRPr="002150BE" w:rsidRDefault="00084374" w:rsidP="00084374">
            <w:pPr>
              <w:spacing w:after="0" w:line="240" w:lineRule="auto"/>
              <w:jc w:val="center"/>
              <w:rPr>
                <w:rFonts w:asciiTheme="minorHAnsi" w:hAnsiTheme="minorHAnsi" w:cstheme="minorHAnsi"/>
                <w:sz w:val="16"/>
                <w:lang w:eastAsia="es-MX"/>
              </w:rPr>
            </w:pPr>
            <w:r w:rsidRPr="002150BE">
              <w:rPr>
                <w:rFonts w:asciiTheme="minorHAnsi" w:hAnsiTheme="minorHAnsi" w:cstheme="minorHAnsi"/>
                <w:sz w:val="16"/>
                <w:lang w:eastAsia="es-MX"/>
              </w:rPr>
              <w:t>Estudiantes (matrícula objetivo UTC por ciclo)</w:t>
            </w:r>
          </w:p>
        </w:tc>
        <w:tc>
          <w:tcPr>
            <w:tcW w:w="902" w:type="pct"/>
            <w:gridSpan w:val="3"/>
            <w:vAlign w:val="center"/>
            <w:hideMark/>
          </w:tcPr>
          <w:p w14:paraId="4052CECE" w14:textId="77777777" w:rsidR="007C6D37" w:rsidRPr="002150BE" w:rsidRDefault="00084374" w:rsidP="00084374">
            <w:pPr>
              <w:spacing w:after="0" w:line="240" w:lineRule="auto"/>
              <w:jc w:val="center"/>
              <w:rPr>
                <w:rFonts w:asciiTheme="minorHAnsi" w:hAnsiTheme="minorHAnsi" w:cstheme="minorHAnsi"/>
                <w:sz w:val="16"/>
                <w:lang w:eastAsia="es-MX"/>
              </w:rPr>
            </w:pPr>
            <w:r w:rsidRPr="002150BE">
              <w:rPr>
                <w:rFonts w:asciiTheme="minorHAnsi" w:hAnsiTheme="minorHAnsi" w:cstheme="minorHAnsi"/>
                <w:sz w:val="16"/>
                <w:lang w:eastAsia="es-MX"/>
              </w:rPr>
              <w:t>632***</w:t>
            </w:r>
          </w:p>
        </w:tc>
        <w:tc>
          <w:tcPr>
            <w:tcW w:w="878" w:type="pct"/>
            <w:gridSpan w:val="3"/>
            <w:vAlign w:val="center"/>
            <w:hideMark/>
          </w:tcPr>
          <w:p w14:paraId="43D493EC" w14:textId="77777777" w:rsidR="007C6D37" w:rsidRPr="002150BE" w:rsidRDefault="005B2BFF" w:rsidP="00084374">
            <w:pPr>
              <w:spacing w:after="0" w:line="240" w:lineRule="auto"/>
              <w:jc w:val="center"/>
              <w:rPr>
                <w:rFonts w:asciiTheme="minorHAnsi" w:hAnsiTheme="minorHAnsi" w:cstheme="minorHAnsi"/>
                <w:sz w:val="16"/>
                <w:lang w:eastAsia="es-MX"/>
              </w:rPr>
            </w:pPr>
            <w:r w:rsidRPr="002150BE">
              <w:rPr>
                <w:rFonts w:asciiTheme="minorHAnsi" w:hAnsiTheme="minorHAnsi" w:cstheme="minorHAnsi"/>
                <w:sz w:val="16"/>
                <w:lang w:eastAsia="es-MX"/>
              </w:rPr>
              <w:t>577</w:t>
            </w:r>
          </w:p>
        </w:tc>
        <w:tc>
          <w:tcPr>
            <w:tcW w:w="803" w:type="pct"/>
            <w:vAlign w:val="center"/>
            <w:hideMark/>
          </w:tcPr>
          <w:p w14:paraId="4D3B8B77" w14:textId="77777777" w:rsidR="007C6D37" w:rsidRPr="002150BE" w:rsidRDefault="005B2BFF" w:rsidP="00084374">
            <w:pPr>
              <w:spacing w:after="0" w:line="240" w:lineRule="auto"/>
              <w:jc w:val="center"/>
              <w:rPr>
                <w:rFonts w:asciiTheme="minorHAnsi" w:hAnsiTheme="minorHAnsi" w:cstheme="minorHAnsi"/>
                <w:sz w:val="16"/>
                <w:lang w:eastAsia="es-MX"/>
              </w:rPr>
            </w:pPr>
            <w:r w:rsidRPr="002150BE">
              <w:rPr>
                <w:rFonts w:asciiTheme="minorHAnsi" w:hAnsiTheme="minorHAnsi" w:cstheme="minorHAnsi"/>
                <w:sz w:val="16"/>
                <w:lang w:eastAsia="es-MX"/>
              </w:rPr>
              <w:t>496</w:t>
            </w:r>
          </w:p>
        </w:tc>
        <w:tc>
          <w:tcPr>
            <w:tcW w:w="824" w:type="pct"/>
            <w:gridSpan w:val="2"/>
            <w:vAlign w:val="center"/>
            <w:hideMark/>
          </w:tcPr>
          <w:p w14:paraId="0062400E" w14:textId="77777777" w:rsidR="007C6D37" w:rsidRPr="002150BE" w:rsidRDefault="005B2BFF" w:rsidP="00084374">
            <w:pPr>
              <w:spacing w:after="0" w:line="240" w:lineRule="auto"/>
              <w:jc w:val="center"/>
              <w:rPr>
                <w:rFonts w:asciiTheme="minorHAnsi" w:hAnsiTheme="minorHAnsi" w:cstheme="minorHAnsi"/>
                <w:sz w:val="16"/>
                <w:lang w:eastAsia="es-MX"/>
              </w:rPr>
            </w:pPr>
            <w:r w:rsidRPr="002150BE">
              <w:rPr>
                <w:rFonts w:asciiTheme="minorHAnsi" w:hAnsiTheme="minorHAnsi" w:cstheme="minorHAnsi"/>
                <w:sz w:val="16"/>
                <w:lang w:eastAsia="es-MX"/>
              </w:rPr>
              <w:t>456</w:t>
            </w:r>
          </w:p>
        </w:tc>
      </w:tr>
      <w:tr w:rsidR="005B2BFF" w:rsidRPr="002150BE" w14:paraId="5C00DB76" w14:textId="77777777" w:rsidTr="005B2BFF">
        <w:trPr>
          <w:trHeight w:val="254"/>
        </w:trPr>
        <w:tc>
          <w:tcPr>
            <w:tcW w:w="805" w:type="pct"/>
            <w:vAlign w:val="center"/>
            <w:hideMark/>
          </w:tcPr>
          <w:p w14:paraId="3A5F48C5" w14:textId="77777777" w:rsidR="005B2BFF" w:rsidRPr="002150BE" w:rsidRDefault="005B2BFF" w:rsidP="005B2BFF">
            <w:pPr>
              <w:spacing w:after="0" w:line="240" w:lineRule="auto"/>
              <w:jc w:val="center"/>
              <w:rPr>
                <w:rFonts w:asciiTheme="minorHAnsi" w:hAnsiTheme="minorHAnsi" w:cstheme="minorHAnsi"/>
                <w:b/>
                <w:sz w:val="16"/>
                <w:lang w:eastAsia="es-MX"/>
              </w:rPr>
            </w:pPr>
            <w:r w:rsidRPr="002150BE">
              <w:rPr>
                <w:rFonts w:asciiTheme="minorHAnsi" w:hAnsiTheme="minorHAnsi" w:cstheme="minorHAnsi"/>
                <w:b/>
                <w:sz w:val="16"/>
                <w:lang w:eastAsia="es-MX"/>
              </w:rPr>
              <w:t>Atendida (A)</w:t>
            </w:r>
          </w:p>
        </w:tc>
        <w:tc>
          <w:tcPr>
            <w:tcW w:w="788" w:type="pct"/>
            <w:gridSpan w:val="2"/>
            <w:vAlign w:val="center"/>
            <w:hideMark/>
          </w:tcPr>
          <w:p w14:paraId="74777100" w14:textId="77777777" w:rsidR="005B2BFF" w:rsidRPr="002150BE" w:rsidRDefault="005B2BFF" w:rsidP="005B2BFF">
            <w:pPr>
              <w:spacing w:after="0" w:line="240" w:lineRule="auto"/>
              <w:jc w:val="center"/>
              <w:rPr>
                <w:rFonts w:asciiTheme="minorHAnsi" w:hAnsiTheme="minorHAnsi" w:cstheme="minorHAnsi"/>
                <w:sz w:val="16"/>
                <w:lang w:eastAsia="es-MX"/>
              </w:rPr>
            </w:pPr>
            <w:r w:rsidRPr="002150BE">
              <w:rPr>
                <w:rFonts w:asciiTheme="minorHAnsi" w:hAnsiTheme="minorHAnsi" w:cstheme="minorHAnsi"/>
                <w:sz w:val="16"/>
                <w:lang w:eastAsia="es-MX"/>
              </w:rPr>
              <w:t>Estudiantes (matrícula de inicio de ciclo UTC)</w:t>
            </w:r>
          </w:p>
        </w:tc>
        <w:tc>
          <w:tcPr>
            <w:tcW w:w="902" w:type="pct"/>
            <w:gridSpan w:val="3"/>
            <w:vAlign w:val="center"/>
            <w:hideMark/>
          </w:tcPr>
          <w:p w14:paraId="2536F920" w14:textId="77777777" w:rsidR="005B2BFF" w:rsidRPr="002150BE" w:rsidRDefault="005B2BFF" w:rsidP="005B2BFF">
            <w:pPr>
              <w:spacing w:after="0" w:line="240" w:lineRule="auto"/>
              <w:jc w:val="center"/>
              <w:rPr>
                <w:rFonts w:asciiTheme="minorHAnsi" w:hAnsiTheme="minorHAnsi" w:cstheme="minorHAnsi"/>
                <w:sz w:val="16"/>
                <w:lang w:eastAsia="es-MX"/>
              </w:rPr>
            </w:pPr>
            <w:r w:rsidRPr="002150BE">
              <w:rPr>
                <w:rFonts w:asciiTheme="minorHAnsi" w:hAnsiTheme="minorHAnsi" w:cstheme="minorHAnsi"/>
                <w:sz w:val="16"/>
                <w:lang w:eastAsia="es-MX"/>
              </w:rPr>
              <w:t>100%</w:t>
            </w:r>
          </w:p>
        </w:tc>
        <w:tc>
          <w:tcPr>
            <w:tcW w:w="878" w:type="pct"/>
            <w:gridSpan w:val="3"/>
            <w:vAlign w:val="center"/>
            <w:hideMark/>
          </w:tcPr>
          <w:p w14:paraId="48FFF84C" w14:textId="77777777" w:rsidR="005B2BFF" w:rsidRPr="002150BE" w:rsidRDefault="005B2BFF" w:rsidP="005B2BFF">
            <w:pPr>
              <w:spacing w:after="0" w:line="240" w:lineRule="auto"/>
              <w:jc w:val="center"/>
              <w:rPr>
                <w:rFonts w:asciiTheme="minorHAnsi" w:hAnsiTheme="minorHAnsi" w:cstheme="minorHAnsi"/>
                <w:sz w:val="16"/>
                <w:lang w:eastAsia="es-MX"/>
              </w:rPr>
            </w:pPr>
            <w:r w:rsidRPr="002150BE">
              <w:rPr>
                <w:rFonts w:asciiTheme="minorHAnsi" w:hAnsiTheme="minorHAnsi" w:cstheme="minorHAnsi"/>
                <w:sz w:val="16"/>
                <w:lang w:eastAsia="es-MX"/>
              </w:rPr>
              <w:t>577</w:t>
            </w:r>
          </w:p>
        </w:tc>
        <w:tc>
          <w:tcPr>
            <w:tcW w:w="803" w:type="pct"/>
            <w:vAlign w:val="center"/>
            <w:hideMark/>
          </w:tcPr>
          <w:p w14:paraId="1EE553E1" w14:textId="77777777" w:rsidR="005B2BFF" w:rsidRPr="002150BE" w:rsidRDefault="005B2BFF" w:rsidP="005B2BFF">
            <w:pPr>
              <w:spacing w:after="0" w:line="240" w:lineRule="auto"/>
              <w:jc w:val="center"/>
              <w:rPr>
                <w:rFonts w:asciiTheme="minorHAnsi" w:hAnsiTheme="minorHAnsi" w:cstheme="minorHAnsi"/>
                <w:sz w:val="16"/>
                <w:lang w:eastAsia="es-MX"/>
              </w:rPr>
            </w:pPr>
            <w:r w:rsidRPr="002150BE">
              <w:rPr>
                <w:rFonts w:asciiTheme="minorHAnsi" w:hAnsiTheme="minorHAnsi" w:cstheme="minorHAnsi"/>
                <w:sz w:val="16"/>
                <w:lang w:eastAsia="es-MX"/>
              </w:rPr>
              <w:t>496</w:t>
            </w:r>
          </w:p>
        </w:tc>
        <w:tc>
          <w:tcPr>
            <w:tcW w:w="824" w:type="pct"/>
            <w:gridSpan w:val="2"/>
            <w:vAlign w:val="center"/>
            <w:hideMark/>
          </w:tcPr>
          <w:p w14:paraId="5ECF912A" w14:textId="77777777" w:rsidR="005B2BFF" w:rsidRPr="002150BE" w:rsidRDefault="005B2BFF" w:rsidP="005B2BFF">
            <w:pPr>
              <w:spacing w:after="0" w:line="240" w:lineRule="auto"/>
              <w:jc w:val="center"/>
              <w:rPr>
                <w:rFonts w:asciiTheme="minorHAnsi" w:hAnsiTheme="minorHAnsi" w:cstheme="minorHAnsi"/>
                <w:sz w:val="16"/>
                <w:lang w:eastAsia="es-MX"/>
              </w:rPr>
            </w:pPr>
            <w:r w:rsidRPr="002150BE">
              <w:rPr>
                <w:rFonts w:asciiTheme="minorHAnsi" w:hAnsiTheme="minorHAnsi" w:cstheme="minorHAnsi"/>
                <w:sz w:val="16"/>
                <w:lang w:eastAsia="es-MX"/>
              </w:rPr>
              <w:t>456</w:t>
            </w:r>
          </w:p>
        </w:tc>
      </w:tr>
      <w:tr w:rsidR="005B2BFF" w:rsidRPr="002150BE" w14:paraId="5B016FB7" w14:textId="77777777" w:rsidTr="005B2BFF">
        <w:trPr>
          <w:trHeight w:val="254"/>
        </w:trPr>
        <w:tc>
          <w:tcPr>
            <w:tcW w:w="805" w:type="pct"/>
            <w:vAlign w:val="center"/>
            <w:hideMark/>
          </w:tcPr>
          <w:p w14:paraId="27F02A97" w14:textId="77777777" w:rsidR="005B2BFF" w:rsidRPr="002150BE" w:rsidRDefault="005B2BFF" w:rsidP="005B2BFF">
            <w:pPr>
              <w:spacing w:after="0" w:line="240" w:lineRule="auto"/>
              <w:jc w:val="center"/>
              <w:rPr>
                <w:rFonts w:asciiTheme="minorHAnsi" w:hAnsiTheme="minorHAnsi" w:cstheme="minorHAnsi"/>
                <w:b/>
                <w:sz w:val="16"/>
                <w:lang w:eastAsia="es-MX"/>
              </w:rPr>
            </w:pPr>
            <w:r w:rsidRPr="002150BE">
              <w:rPr>
                <w:rFonts w:asciiTheme="minorHAnsi" w:hAnsiTheme="minorHAnsi" w:cstheme="minorHAnsi"/>
                <w:b/>
                <w:sz w:val="16"/>
                <w:lang w:eastAsia="es-MX"/>
              </w:rPr>
              <w:t>(A/O) x 100</w:t>
            </w:r>
          </w:p>
        </w:tc>
        <w:tc>
          <w:tcPr>
            <w:tcW w:w="788" w:type="pct"/>
            <w:gridSpan w:val="2"/>
            <w:vAlign w:val="center"/>
            <w:hideMark/>
          </w:tcPr>
          <w:p w14:paraId="439EABD6" w14:textId="77777777" w:rsidR="005B2BFF" w:rsidRPr="002150BE" w:rsidRDefault="005B2BFF" w:rsidP="005B2BFF">
            <w:pPr>
              <w:spacing w:after="0" w:line="240" w:lineRule="auto"/>
              <w:jc w:val="center"/>
              <w:rPr>
                <w:rFonts w:asciiTheme="minorHAnsi" w:hAnsiTheme="minorHAnsi" w:cstheme="minorHAnsi"/>
                <w:b/>
                <w:sz w:val="16"/>
                <w:lang w:eastAsia="es-MX"/>
              </w:rPr>
            </w:pPr>
            <w:r w:rsidRPr="002150BE">
              <w:rPr>
                <w:rFonts w:asciiTheme="minorHAnsi" w:hAnsiTheme="minorHAnsi" w:cstheme="minorHAnsi"/>
                <w:b/>
                <w:sz w:val="16"/>
                <w:lang w:eastAsia="es-MX"/>
              </w:rPr>
              <w:t>%</w:t>
            </w:r>
          </w:p>
        </w:tc>
        <w:tc>
          <w:tcPr>
            <w:tcW w:w="902" w:type="pct"/>
            <w:gridSpan w:val="3"/>
            <w:hideMark/>
          </w:tcPr>
          <w:p w14:paraId="3933076F" w14:textId="77777777" w:rsidR="005B2BFF" w:rsidRPr="002150BE" w:rsidRDefault="005B2BFF" w:rsidP="005B2BFF">
            <w:pPr>
              <w:spacing w:after="0" w:line="240" w:lineRule="auto"/>
              <w:jc w:val="center"/>
              <w:rPr>
                <w:rFonts w:asciiTheme="minorHAnsi" w:hAnsiTheme="minorHAnsi" w:cstheme="minorHAnsi"/>
                <w:b/>
                <w:sz w:val="16"/>
                <w:lang w:eastAsia="es-MX"/>
              </w:rPr>
            </w:pPr>
            <w:r w:rsidRPr="002150BE">
              <w:rPr>
                <w:rFonts w:asciiTheme="minorHAnsi" w:hAnsiTheme="minorHAnsi" w:cstheme="minorHAnsi"/>
              </w:rPr>
              <w:t>100%</w:t>
            </w:r>
          </w:p>
        </w:tc>
        <w:tc>
          <w:tcPr>
            <w:tcW w:w="878" w:type="pct"/>
            <w:gridSpan w:val="3"/>
            <w:hideMark/>
          </w:tcPr>
          <w:p w14:paraId="75B10D3B" w14:textId="77777777" w:rsidR="005B2BFF" w:rsidRPr="002150BE" w:rsidRDefault="005B2BFF" w:rsidP="005B2BFF">
            <w:pPr>
              <w:spacing w:after="0" w:line="240" w:lineRule="auto"/>
              <w:jc w:val="center"/>
              <w:rPr>
                <w:rFonts w:asciiTheme="minorHAnsi" w:hAnsiTheme="minorHAnsi" w:cstheme="minorHAnsi"/>
                <w:b/>
                <w:sz w:val="16"/>
                <w:lang w:eastAsia="es-MX"/>
              </w:rPr>
            </w:pPr>
            <w:r w:rsidRPr="002150BE">
              <w:rPr>
                <w:rFonts w:asciiTheme="minorHAnsi" w:hAnsiTheme="minorHAnsi" w:cstheme="minorHAnsi"/>
              </w:rPr>
              <w:t>100%</w:t>
            </w:r>
          </w:p>
        </w:tc>
        <w:tc>
          <w:tcPr>
            <w:tcW w:w="803" w:type="pct"/>
            <w:hideMark/>
          </w:tcPr>
          <w:p w14:paraId="24557D75" w14:textId="77777777" w:rsidR="005B2BFF" w:rsidRPr="002150BE" w:rsidRDefault="005B2BFF" w:rsidP="005B2BFF">
            <w:pPr>
              <w:spacing w:after="0" w:line="240" w:lineRule="auto"/>
              <w:jc w:val="center"/>
              <w:rPr>
                <w:rFonts w:asciiTheme="minorHAnsi" w:hAnsiTheme="minorHAnsi" w:cstheme="minorHAnsi"/>
                <w:b/>
                <w:sz w:val="16"/>
                <w:lang w:eastAsia="es-MX"/>
              </w:rPr>
            </w:pPr>
            <w:r w:rsidRPr="002150BE">
              <w:rPr>
                <w:rFonts w:asciiTheme="minorHAnsi" w:hAnsiTheme="minorHAnsi" w:cstheme="minorHAnsi"/>
              </w:rPr>
              <w:t>100%</w:t>
            </w:r>
          </w:p>
        </w:tc>
        <w:tc>
          <w:tcPr>
            <w:tcW w:w="824" w:type="pct"/>
            <w:gridSpan w:val="2"/>
            <w:hideMark/>
          </w:tcPr>
          <w:p w14:paraId="7EBAB011" w14:textId="77777777" w:rsidR="005B2BFF" w:rsidRPr="002150BE" w:rsidRDefault="005B2BFF" w:rsidP="005B2BFF">
            <w:pPr>
              <w:spacing w:after="0" w:line="240" w:lineRule="auto"/>
              <w:jc w:val="center"/>
              <w:rPr>
                <w:rFonts w:asciiTheme="minorHAnsi" w:hAnsiTheme="minorHAnsi" w:cstheme="minorHAnsi"/>
                <w:b/>
                <w:sz w:val="16"/>
                <w:lang w:eastAsia="es-MX"/>
              </w:rPr>
            </w:pPr>
            <w:r w:rsidRPr="002150BE">
              <w:rPr>
                <w:rFonts w:asciiTheme="minorHAnsi" w:hAnsiTheme="minorHAnsi" w:cstheme="minorHAnsi"/>
              </w:rPr>
              <w:t>100%</w:t>
            </w:r>
          </w:p>
        </w:tc>
      </w:tr>
      <w:tr w:rsidR="007C6D37" w:rsidRPr="002150BE" w14:paraId="00A053F0" w14:textId="77777777" w:rsidTr="00FC6B42">
        <w:trPr>
          <w:trHeight w:val="583"/>
        </w:trPr>
        <w:tc>
          <w:tcPr>
            <w:tcW w:w="5000" w:type="pct"/>
            <w:gridSpan w:val="12"/>
            <w:vAlign w:val="center"/>
            <w:hideMark/>
          </w:tcPr>
          <w:p w14:paraId="61279CEA" w14:textId="77777777" w:rsidR="005B2BFF" w:rsidRPr="002150BE" w:rsidRDefault="005B2BFF" w:rsidP="005B2BFF">
            <w:pPr>
              <w:spacing w:after="0" w:line="240" w:lineRule="auto"/>
              <w:jc w:val="left"/>
              <w:rPr>
                <w:rFonts w:asciiTheme="minorHAnsi" w:hAnsiTheme="minorHAnsi" w:cstheme="minorHAnsi"/>
                <w:color w:val="000000"/>
                <w:sz w:val="16"/>
                <w:lang w:eastAsia="es-MX"/>
              </w:rPr>
            </w:pPr>
            <w:r w:rsidRPr="002150BE">
              <w:rPr>
                <w:rFonts w:asciiTheme="minorHAnsi" w:hAnsiTheme="minorHAnsi" w:cstheme="minorHAnsi"/>
                <w:color w:val="000000"/>
                <w:sz w:val="16"/>
                <w:lang w:eastAsia="es-MX"/>
              </w:rPr>
              <w:t>* 2025 se considera como año de proyección (ciclo 2025-2026), en coherencia con el horizonte 2023-2027 definido en el diagnóstico.</w:t>
            </w:r>
          </w:p>
          <w:p w14:paraId="47BBAA41" w14:textId="77777777" w:rsidR="005B2BFF" w:rsidRPr="002150BE" w:rsidRDefault="005B2BFF" w:rsidP="005B2BFF">
            <w:pPr>
              <w:spacing w:after="0" w:line="240" w:lineRule="auto"/>
              <w:jc w:val="left"/>
              <w:rPr>
                <w:rFonts w:asciiTheme="minorHAnsi" w:hAnsiTheme="minorHAnsi" w:cstheme="minorHAnsi"/>
                <w:color w:val="000000"/>
                <w:sz w:val="16"/>
                <w:lang w:eastAsia="es-MX"/>
              </w:rPr>
            </w:pPr>
            <w:r w:rsidRPr="002150BE">
              <w:rPr>
                <w:rFonts w:asciiTheme="minorHAnsi" w:hAnsiTheme="minorHAnsi" w:cstheme="minorHAnsi"/>
                <w:color w:val="000000"/>
                <w:sz w:val="16"/>
                <w:lang w:eastAsia="es-MX"/>
              </w:rPr>
              <w:t>** Dato de referencia estructural con base en INEGI 2020 para personas con nivel preparatoria/bachillerato; se utiliza como constante para 2022-2025 ante la falta de actualización censal posterior en los documentos analizados.</w:t>
            </w:r>
          </w:p>
          <w:p w14:paraId="057F5303" w14:textId="77777777" w:rsidR="007C6D37" w:rsidRPr="002150BE" w:rsidRDefault="005B2BFF" w:rsidP="005B2BFF">
            <w:pPr>
              <w:spacing w:after="0" w:line="240" w:lineRule="auto"/>
              <w:jc w:val="left"/>
              <w:rPr>
                <w:rFonts w:asciiTheme="minorHAnsi" w:hAnsiTheme="minorHAnsi" w:cstheme="minorHAnsi"/>
                <w:color w:val="000000"/>
                <w:sz w:val="16"/>
                <w:lang w:eastAsia="es-MX"/>
              </w:rPr>
            </w:pPr>
            <w:r w:rsidRPr="002150BE">
              <w:rPr>
                <w:rFonts w:asciiTheme="minorHAnsi" w:hAnsiTheme="minorHAnsi" w:cstheme="minorHAnsi"/>
                <w:color w:val="000000"/>
                <w:sz w:val="16"/>
                <w:lang w:eastAsia="es-MX"/>
              </w:rPr>
              <w:t>*** Corresponde a la proyección de crecimiento de la matrícula de 9.5% respecto a los 577 estudiantes del ciclo 2024-2025, establecida en el MML del Pp como meta de corto plazo (2025-2026).</w:t>
            </w:r>
          </w:p>
        </w:tc>
      </w:tr>
      <w:tr w:rsidR="007C6D37" w:rsidRPr="002150BE" w14:paraId="7E85A96D" w14:textId="77777777" w:rsidTr="00FC6B42">
        <w:trPr>
          <w:trHeight w:val="344"/>
        </w:trPr>
        <w:tc>
          <w:tcPr>
            <w:tcW w:w="5000" w:type="pct"/>
            <w:gridSpan w:val="12"/>
            <w:shd w:val="clear" w:color="auto" w:fill="7F7F7F" w:themeFill="text1" w:themeFillTint="80"/>
            <w:noWrap/>
            <w:vAlign w:val="center"/>
            <w:hideMark/>
          </w:tcPr>
          <w:p w14:paraId="21C0DA5B" w14:textId="77777777" w:rsidR="007C6D37" w:rsidRPr="002150BE" w:rsidRDefault="007C6D37" w:rsidP="007C6D37">
            <w:pPr>
              <w:spacing w:after="0" w:line="240" w:lineRule="auto"/>
              <w:jc w:val="center"/>
              <w:rPr>
                <w:rFonts w:asciiTheme="minorHAnsi" w:hAnsiTheme="minorHAnsi" w:cstheme="minorHAnsi"/>
                <w:b/>
                <w:color w:val="FFFFFF" w:themeColor="background1"/>
                <w:sz w:val="16"/>
                <w:lang w:eastAsia="es-MX"/>
              </w:rPr>
            </w:pPr>
            <w:r w:rsidRPr="002150BE">
              <w:rPr>
                <w:rFonts w:asciiTheme="minorHAnsi" w:hAnsiTheme="minorHAnsi" w:cstheme="minorHAnsi"/>
                <w:b/>
                <w:color w:val="FFFFFF" w:themeColor="background1"/>
                <w:sz w:val="16"/>
                <w:lang w:eastAsia="es-MX"/>
              </w:rPr>
              <w:t>Análisis de la estrategia de cobertura</w:t>
            </w:r>
          </w:p>
        </w:tc>
      </w:tr>
      <w:tr w:rsidR="00D25998" w:rsidRPr="002150BE" w14:paraId="6A29B7B3" w14:textId="77777777" w:rsidTr="00D25998">
        <w:trPr>
          <w:trHeight w:val="446"/>
        </w:trPr>
        <w:tc>
          <w:tcPr>
            <w:tcW w:w="5000" w:type="pct"/>
            <w:gridSpan w:val="12"/>
            <w:shd w:val="clear" w:color="auto" w:fill="D9D9D9" w:themeFill="background1" w:themeFillShade="D9"/>
            <w:vAlign w:val="center"/>
            <w:hideMark/>
          </w:tcPr>
          <w:p w14:paraId="68C1B42B" w14:textId="77777777" w:rsidR="00D25998" w:rsidRPr="002150BE" w:rsidRDefault="00D25998" w:rsidP="007C6D37">
            <w:pPr>
              <w:spacing w:after="0" w:line="240" w:lineRule="auto"/>
              <w:jc w:val="center"/>
              <w:rPr>
                <w:rFonts w:asciiTheme="minorHAnsi" w:hAnsiTheme="minorHAnsi" w:cstheme="minorHAnsi"/>
                <w:b/>
                <w:sz w:val="16"/>
                <w:lang w:eastAsia="es-MX"/>
              </w:rPr>
            </w:pPr>
            <w:r w:rsidRPr="002150BE">
              <w:rPr>
                <w:rFonts w:asciiTheme="minorHAnsi" w:hAnsiTheme="minorHAnsi" w:cstheme="minorHAnsi"/>
                <w:b/>
                <w:sz w:val="16"/>
                <w:lang w:eastAsia="es-MX"/>
              </w:rPr>
              <w:t>La estrategia de cobertura contempla o incluye al menos:</w:t>
            </w:r>
          </w:p>
        </w:tc>
      </w:tr>
      <w:tr w:rsidR="00D25998" w:rsidRPr="002150BE" w14:paraId="203E6B8C" w14:textId="77777777" w:rsidTr="005B2BFF">
        <w:trPr>
          <w:trHeight w:val="454"/>
        </w:trPr>
        <w:tc>
          <w:tcPr>
            <w:tcW w:w="2052" w:type="pct"/>
            <w:gridSpan w:val="4"/>
            <w:vAlign w:val="center"/>
            <w:hideMark/>
          </w:tcPr>
          <w:p w14:paraId="5D794550" w14:textId="77777777" w:rsidR="00D25998" w:rsidRPr="002150BE" w:rsidRDefault="00D25998" w:rsidP="007C6D37">
            <w:pPr>
              <w:spacing w:after="0" w:line="240" w:lineRule="auto"/>
              <w:jc w:val="left"/>
              <w:rPr>
                <w:rFonts w:asciiTheme="minorHAnsi" w:hAnsiTheme="minorHAnsi" w:cstheme="minorHAnsi"/>
                <w:sz w:val="16"/>
                <w:lang w:eastAsia="es-MX"/>
              </w:rPr>
            </w:pPr>
            <w:r w:rsidRPr="002150BE">
              <w:rPr>
                <w:rFonts w:asciiTheme="minorHAnsi" w:hAnsiTheme="minorHAnsi" w:cstheme="minorHAnsi"/>
                <w:sz w:val="16"/>
                <w:lang w:eastAsia="es-MX"/>
              </w:rPr>
              <w:t>Método de cálculo documentado</w:t>
            </w:r>
          </w:p>
        </w:tc>
        <w:tc>
          <w:tcPr>
            <w:tcW w:w="224" w:type="pct"/>
            <w:vAlign w:val="center"/>
            <w:hideMark/>
          </w:tcPr>
          <w:p w14:paraId="1064EE80" w14:textId="77777777" w:rsidR="00D25998" w:rsidRPr="002150BE" w:rsidRDefault="005B2BFF" w:rsidP="007C6D37">
            <w:pPr>
              <w:spacing w:after="0" w:line="240" w:lineRule="auto"/>
              <w:jc w:val="center"/>
              <w:rPr>
                <w:rFonts w:asciiTheme="minorHAnsi" w:hAnsiTheme="minorHAnsi" w:cstheme="minorHAnsi"/>
                <w:sz w:val="16"/>
                <w:lang w:eastAsia="es-MX"/>
              </w:rPr>
            </w:pPr>
            <w:r w:rsidRPr="002150BE">
              <w:rPr>
                <w:rFonts w:asciiTheme="minorHAnsi" w:hAnsiTheme="minorHAnsi" w:cstheme="minorHAnsi"/>
                <w:sz w:val="16"/>
                <w:lang w:eastAsia="es-MX"/>
              </w:rPr>
              <w:t>X</w:t>
            </w:r>
          </w:p>
        </w:tc>
        <w:tc>
          <w:tcPr>
            <w:tcW w:w="219" w:type="pct"/>
            <w:vAlign w:val="center"/>
            <w:hideMark/>
          </w:tcPr>
          <w:p w14:paraId="0B1E4F36" w14:textId="77777777" w:rsidR="00D25998" w:rsidRPr="002150BE" w:rsidRDefault="00D25998" w:rsidP="007C6D37">
            <w:pPr>
              <w:spacing w:after="0" w:line="240" w:lineRule="auto"/>
              <w:jc w:val="center"/>
              <w:rPr>
                <w:rFonts w:asciiTheme="minorHAnsi" w:hAnsiTheme="minorHAnsi" w:cstheme="minorHAnsi"/>
                <w:sz w:val="16"/>
                <w:lang w:eastAsia="es-MX"/>
              </w:rPr>
            </w:pPr>
            <w:r w:rsidRPr="002150BE">
              <w:rPr>
                <w:rFonts w:asciiTheme="minorHAnsi" w:hAnsiTheme="minorHAnsi" w:cstheme="minorHAnsi"/>
                <w:sz w:val="16"/>
                <w:lang w:eastAsia="es-MX"/>
              </w:rPr>
              <w:t>Si</w:t>
            </w:r>
          </w:p>
        </w:tc>
        <w:tc>
          <w:tcPr>
            <w:tcW w:w="224" w:type="pct"/>
            <w:vAlign w:val="center"/>
            <w:hideMark/>
          </w:tcPr>
          <w:p w14:paraId="24D192A0" w14:textId="77777777" w:rsidR="00D25998" w:rsidRPr="002150BE" w:rsidRDefault="00D25998" w:rsidP="007C6D37">
            <w:pPr>
              <w:spacing w:after="0" w:line="240" w:lineRule="auto"/>
              <w:jc w:val="center"/>
              <w:rPr>
                <w:rFonts w:asciiTheme="minorHAnsi" w:hAnsiTheme="minorHAnsi" w:cstheme="minorHAnsi"/>
                <w:sz w:val="16"/>
                <w:lang w:eastAsia="es-MX"/>
              </w:rPr>
            </w:pPr>
          </w:p>
        </w:tc>
        <w:tc>
          <w:tcPr>
            <w:tcW w:w="416" w:type="pct"/>
            <w:vAlign w:val="center"/>
            <w:hideMark/>
          </w:tcPr>
          <w:p w14:paraId="16F2CCF5" w14:textId="77777777" w:rsidR="00D25998" w:rsidRPr="002150BE" w:rsidRDefault="00D25998" w:rsidP="007C6D37">
            <w:pPr>
              <w:spacing w:after="0" w:line="240" w:lineRule="auto"/>
              <w:jc w:val="center"/>
              <w:rPr>
                <w:rFonts w:asciiTheme="minorHAnsi" w:hAnsiTheme="minorHAnsi" w:cstheme="minorHAnsi"/>
                <w:sz w:val="16"/>
                <w:lang w:eastAsia="es-MX"/>
              </w:rPr>
            </w:pPr>
            <w:r w:rsidRPr="002150BE">
              <w:rPr>
                <w:rFonts w:asciiTheme="minorHAnsi" w:hAnsiTheme="minorHAnsi" w:cstheme="minorHAnsi"/>
                <w:sz w:val="16"/>
                <w:lang w:eastAsia="es-MX"/>
              </w:rPr>
              <w:t>No</w:t>
            </w:r>
          </w:p>
        </w:tc>
        <w:tc>
          <w:tcPr>
            <w:tcW w:w="239" w:type="pct"/>
            <w:vAlign w:val="center"/>
            <w:hideMark/>
          </w:tcPr>
          <w:p w14:paraId="7BAD9BC2" w14:textId="77777777" w:rsidR="00D25998" w:rsidRPr="002150BE" w:rsidRDefault="00D25998" w:rsidP="007C6D37">
            <w:pPr>
              <w:spacing w:after="0" w:line="240" w:lineRule="auto"/>
              <w:jc w:val="center"/>
              <w:rPr>
                <w:rFonts w:asciiTheme="minorHAnsi" w:hAnsiTheme="minorHAnsi" w:cstheme="minorHAnsi"/>
                <w:sz w:val="16"/>
                <w:lang w:eastAsia="es-MX"/>
              </w:rPr>
            </w:pPr>
          </w:p>
        </w:tc>
        <w:tc>
          <w:tcPr>
            <w:tcW w:w="1627" w:type="pct"/>
            <w:gridSpan w:val="3"/>
            <w:vAlign w:val="center"/>
            <w:hideMark/>
          </w:tcPr>
          <w:p w14:paraId="4E3D49A0" w14:textId="77777777" w:rsidR="00D25998" w:rsidRPr="002150BE" w:rsidRDefault="00D25998" w:rsidP="007C6D37">
            <w:pPr>
              <w:spacing w:after="0" w:line="240" w:lineRule="auto"/>
              <w:jc w:val="center"/>
              <w:rPr>
                <w:rFonts w:asciiTheme="minorHAnsi" w:hAnsiTheme="minorHAnsi" w:cstheme="minorHAnsi"/>
                <w:sz w:val="16"/>
                <w:lang w:eastAsia="es-MX"/>
              </w:rPr>
            </w:pPr>
            <w:r w:rsidRPr="002150BE">
              <w:rPr>
                <w:rFonts w:asciiTheme="minorHAnsi" w:hAnsiTheme="minorHAnsi" w:cstheme="minorHAnsi"/>
                <w:sz w:val="16"/>
                <w:lang w:eastAsia="es-MX"/>
              </w:rPr>
              <w:t>Parcial</w:t>
            </w:r>
          </w:p>
        </w:tc>
      </w:tr>
      <w:tr w:rsidR="00D25998" w:rsidRPr="002150BE" w14:paraId="412EBDA0" w14:textId="77777777" w:rsidTr="005B2BFF">
        <w:trPr>
          <w:trHeight w:val="454"/>
        </w:trPr>
        <w:tc>
          <w:tcPr>
            <w:tcW w:w="2052" w:type="pct"/>
            <w:gridSpan w:val="4"/>
            <w:vAlign w:val="center"/>
            <w:hideMark/>
          </w:tcPr>
          <w:p w14:paraId="15B0AD55" w14:textId="77777777" w:rsidR="00D25998" w:rsidRPr="002150BE" w:rsidRDefault="00D25998" w:rsidP="007C6D37">
            <w:pPr>
              <w:spacing w:after="0" w:line="240" w:lineRule="auto"/>
              <w:jc w:val="left"/>
              <w:rPr>
                <w:rFonts w:asciiTheme="minorHAnsi" w:hAnsiTheme="minorHAnsi" w:cstheme="minorHAnsi"/>
                <w:sz w:val="16"/>
                <w:lang w:eastAsia="es-MX"/>
              </w:rPr>
            </w:pPr>
            <w:r w:rsidRPr="002150BE">
              <w:rPr>
                <w:rFonts w:asciiTheme="minorHAnsi" w:hAnsiTheme="minorHAnsi" w:cstheme="minorHAnsi"/>
                <w:sz w:val="16"/>
                <w:lang w:eastAsia="es-MX"/>
              </w:rPr>
              <w:t>Consistencia con el diseño del programa</w:t>
            </w:r>
          </w:p>
        </w:tc>
        <w:tc>
          <w:tcPr>
            <w:tcW w:w="224" w:type="pct"/>
            <w:vAlign w:val="center"/>
            <w:hideMark/>
          </w:tcPr>
          <w:p w14:paraId="35F656B1" w14:textId="77777777" w:rsidR="00D25998" w:rsidRPr="002150BE" w:rsidRDefault="005B2BFF" w:rsidP="007C6D37">
            <w:pPr>
              <w:spacing w:after="0" w:line="240" w:lineRule="auto"/>
              <w:jc w:val="center"/>
              <w:rPr>
                <w:rFonts w:asciiTheme="minorHAnsi" w:hAnsiTheme="minorHAnsi" w:cstheme="minorHAnsi"/>
                <w:sz w:val="16"/>
                <w:lang w:eastAsia="es-MX"/>
              </w:rPr>
            </w:pPr>
            <w:r w:rsidRPr="002150BE">
              <w:rPr>
                <w:rFonts w:asciiTheme="minorHAnsi" w:hAnsiTheme="minorHAnsi" w:cstheme="minorHAnsi"/>
                <w:sz w:val="16"/>
                <w:lang w:eastAsia="es-MX"/>
              </w:rPr>
              <w:t>X</w:t>
            </w:r>
          </w:p>
        </w:tc>
        <w:tc>
          <w:tcPr>
            <w:tcW w:w="219" w:type="pct"/>
            <w:vAlign w:val="center"/>
            <w:hideMark/>
          </w:tcPr>
          <w:p w14:paraId="4668A2B6" w14:textId="77777777" w:rsidR="00D25998" w:rsidRPr="002150BE" w:rsidRDefault="00D25998" w:rsidP="007C6D37">
            <w:pPr>
              <w:spacing w:after="0" w:line="240" w:lineRule="auto"/>
              <w:jc w:val="center"/>
              <w:rPr>
                <w:rFonts w:asciiTheme="minorHAnsi" w:hAnsiTheme="minorHAnsi" w:cstheme="minorHAnsi"/>
                <w:sz w:val="16"/>
                <w:lang w:eastAsia="es-MX"/>
              </w:rPr>
            </w:pPr>
            <w:r w:rsidRPr="002150BE">
              <w:rPr>
                <w:rFonts w:asciiTheme="minorHAnsi" w:hAnsiTheme="minorHAnsi" w:cstheme="minorHAnsi"/>
                <w:sz w:val="16"/>
                <w:lang w:eastAsia="es-MX"/>
              </w:rPr>
              <w:t>Si</w:t>
            </w:r>
          </w:p>
        </w:tc>
        <w:tc>
          <w:tcPr>
            <w:tcW w:w="224" w:type="pct"/>
            <w:vAlign w:val="center"/>
            <w:hideMark/>
          </w:tcPr>
          <w:p w14:paraId="3736F4DD" w14:textId="77777777" w:rsidR="00D25998" w:rsidRPr="002150BE" w:rsidRDefault="00D25998" w:rsidP="007C6D37">
            <w:pPr>
              <w:spacing w:after="0" w:line="240" w:lineRule="auto"/>
              <w:jc w:val="center"/>
              <w:rPr>
                <w:rFonts w:asciiTheme="minorHAnsi" w:hAnsiTheme="minorHAnsi" w:cstheme="minorHAnsi"/>
                <w:sz w:val="16"/>
                <w:lang w:eastAsia="es-MX"/>
              </w:rPr>
            </w:pPr>
          </w:p>
        </w:tc>
        <w:tc>
          <w:tcPr>
            <w:tcW w:w="416" w:type="pct"/>
            <w:vAlign w:val="center"/>
            <w:hideMark/>
          </w:tcPr>
          <w:p w14:paraId="525C8678" w14:textId="77777777" w:rsidR="00D25998" w:rsidRPr="002150BE" w:rsidRDefault="00D25998" w:rsidP="007C6D37">
            <w:pPr>
              <w:spacing w:after="0" w:line="240" w:lineRule="auto"/>
              <w:jc w:val="center"/>
              <w:rPr>
                <w:rFonts w:asciiTheme="minorHAnsi" w:hAnsiTheme="minorHAnsi" w:cstheme="minorHAnsi"/>
                <w:sz w:val="16"/>
                <w:lang w:eastAsia="es-MX"/>
              </w:rPr>
            </w:pPr>
            <w:r w:rsidRPr="002150BE">
              <w:rPr>
                <w:rFonts w:asciiTheme="minorHAnsi" w:hAnsiTheme="minorHAnsi" w:cstheme="minorHAnsi"/>
                <w:sz w:val="16"/>
                <w:lang w:eastAsia="es-MX"/>
              </w:rPr>
              <w:t>No</w:t>
            </w:r>
          </w:p>
        </w:tc>
        <w:tc>
          <w:tcPr>
            <w:tcW w:w="239" w:type="pct"/>
            <w:vAlign w:val="center"/>
            <w:hideMark/>
          </w:tcPr>
          <w:p w14:paraId="429F8EAC" w14:textId="77777777" w:rsidR="00D25998" w:rsidRPr="002150BE" w:rsidRDefault="00D25998" w:rsidP="007C6D37">
            <w:pPr>
              <w:spacing w:after="0" w:line="240" w:lineRule="auto"/>
              <w:jc w:val="center"/>
              <w:rPr>
                <w:rFonts w:asciiTheme="minorHAnsi" w:hAnsiTheme="minorHAnsi" w:cstheme="minorHAnsi"/>
                <w:sz w:val="16"/>
                <w:lang w:eastAsia="es-MX"/>
              </w:rPr>
            </w:pPr>
          </w:p>
        </w:tc>
        <w:tc>
          <w:tcPr>
            <w:tcW w:w="1627" w:type="pct"/>
            <w:gridSpan w:val="3"/>
            <w:vAlign w:val="center"/>
            <w:hideMark/>
          </w:tcPr>
          <w:p w14:paraId="7E313798" w14:textId="77777777" w:rsidR="00D25998" w:rsidRPr="002150BE" w:rsidRDefault="00D25998" w:rsidP="007C6D37">
            <w:pPr>
              <w:spacing w:after="0" w:line="240" w:lineRule="auto"/>
              <w:jc w:val="center"/>
              <w:rPr>
                <w:rFonts w:asciiTheme="minorHAnsi" w:hAnsiTheme="minorHAnsi" w:cstheme="minorHAnsi"/>
                <w:sz w:val="16"/>
                <w:lang w:eastAsia="es-MX"/>
              </w:rPr>
            </w:pPr>
            <w:r w:rsidRPr="002150BE">
              <w:rPr>
                <w:rFonts w:asciiTheme="minorHAnsi" w:hAnsiTheme="minorHAnsi" w:cstheme="minorHAnsi"/>
                <w:sz w:val="16"/>
                <w:lang w:eastAsia="es-MX"/>
              </w:rPr>
              <w:t>Parcial</w:t>
            </w:r>
          </w:p>
        </w:tc>
      </w:tr>
      <w:tr w:rsidR="00D25998" w:rsidRPr="002150BE" w14:paraId="3FE06435" w14:textId="77777777" w:rsidTr="005B2BFF">
        <w:trPr>
          <w:trHeight w:val="454"/>
        </w:trPr>
        <w:tc>
          <w:tcPr>
            <w:tcW w:w="2052" w:type="pct"/>
            <w:gridSpan w:val="4"/>
            <w:vAlign w:val="center"/>
            <w:hideMark/>
          </w:tcPr>
          <w:p w14:paraId="392D8342" w14:textId="77777777" w:rsidR="00D25998" w:rsidRPr="002150BE" w:rsidRDefault="00D25998" w:rsidP="007C6D37">
            <w:pPr>
              <w:spacing w:after="0" w:line="240" w:lineRule="auto"/>
              <w:jc w:val="left"/>
              <w:rPr>
                <w:rFonts w:asciiTheme="minorHAnsi" w:hAnsiTheme="minorHAnsi" w:cstheme="minorHAnsi"/>
                <w:sz w:val="16"/>
                <w:lang w:eastAsia="es-MX"/>
              </w:rPr>
            </w:pPr>
            <w:r w:rsidRPr="002150BE">
              <w:rPr>
                <w:rFonts w:asciiTheme="minorHAnsi" w:hAnsiTheme="minorHAnsi" w:cstheme="minorHAnsi"/>
                <w:sz w:val="16"/>
                <w:lang w:eastAsia="es-MX"/>
              </w:rPr>
              <w:lastRenderedPageBreak/>
              <w:t>El presupuesto requerido</w:t>
            </w:r>
          </w:p>
        </w:tc>
        <w:tc>
          <w:tcPr>
            <w:tcW w:w="224" w:type="pct"/>
            <w:vAlign w:val="center"/>
            <w:hideMark/>
          </w:tcPr>
          <w:p w14:paraId="2211568B" w14:textId="77777777" w:rsidR="00D25998" w:rsidRPr="002150BE" w:rsidRDefault="00D25998" w:rsidP="007C6D37">
            <w:pPr>
              <w:spacing w:after="0" w:line="240" w:lineRule="auto"/>
              <w:jc w:val="center"/>
              <w:rPr>
                <w:rFonts w:asciiTheme="minorHAnsi" w:hAnsiTheme="minorHAnsi" w:cstheme="minorHAnsi"/>
                <w:sz w:val="16"/>
                <w:lang w:eastAsia="es-MX"/>
              </w:rPr>
            </w:pPr>
          </w:p>
        </w:tc>
        <w:tc>
          <w:tcPr>
            <w:tcW w:w="219" w:type="pct"/>
            <w:vAlign w:val="center"/>
            <w:hideMark/>
          </w:tcPr>
          <w:p w14:paraId="0E31C4A0" w14:textId="77777777" w:rsidR="00D25998" w:rsidRPr="002150BE" w:rsidRDefault="00D25998" w:rsidP="007C6D37">
            <w:pPr>
              <w:spacing w:after="0" w:line="240" w:lineRule="auto"/>
              <w:jc w:val="center"/>
              <w:rPr>
                <w:rFonts w:asciiTheme="minorHAnsi" w:hAnsiTheme="minorHAnsi" w:cstheme="minorHAnsi"/>
                <w:sz w:val="16"/>
                <w:lang w:eastAsia="es-MX"/>
              </w:rPr>
            </w:pPr>
            <w:r w:rsidRPr="002150BE">
              <w:rPr>
                <w:rFonts w:asciiTheme="minorHAnsi" w:hAnsiTheme="minorHAnsi" w:cstheme="minorHAnsi"/>
                <w:sz w:val="16"/>
                <w:lang w:eastAsia="es-MX"/>
              </w:rPr>
              <w:t>Si</w:t>
            </w:r>
          </w:p>
        </w:tc>
        <w:tc>
          <w:tcPr>
            <w:tcW w:w="224" w:type="pct"/>
            <w:vAlign w:val="center"/>
            <w:hideMark/>
          </w:tcPr>
          <w:p w14:paraId="2650F575" w14:textId="77777777" w:rsidR="00D25998" w:rsidRPr="002150BE" w:rsidRDefault="00D25998" w:rsidP="007C6D37">
            <w:pPr>
              <w:spacing w:after="0" w:line="240" w:lineRule="auto"/>
              <w:jc w:val="center"/>
              <w:rPr>
                <w:rFonts w:asciiTheme="minorHAnsi" w:hAnsiTheme="minorHAnsi" w:cstheme="minorHAnsi"/>
                <w:sz w:val="16"/>
                <w:lang w:eastAsia="es-MX"/>
              </w:rPr>
            </w:pPr>
          </w:p>
        </w:tc>
        <w:tc>
          <w:tcPr>
            <w:tcW w:w="416" w:type="pct"/>
            <w:vAlign w:val="center"/>
            <w:hideMark/>
          </w:tcPr>
          <w:p w14:paraId="0AE56059" w14:textId="77777777" w:rsidR="00D25998" w:rsidRPr="002150BE" w:rsidRDefault="00D25998" w:rsidP="007C6D37">
            <w:pPr>
              <w:spacing w:after="0" w:line="240" w:lineRule="auto"/>
              <w:jc w:val="center"/>
              <w:rPr>
                <w:rFonts w:asciiTheme="minorHAnsi" w:hAnsiTheme="minorHAnsi" w:cstheme="minorHAnsi"/>
                <w:sz w:val="16"/>
                <w:lang w:eastAsia="es-MX"/>
              </w:rPr>
            </w:pPr>
            <w:r w:rsidRPr="002150BE">
              <w:rPr>
                <w:rFonts w:asciiTheme="minorHAnsi" w:hAnsiTheme="minorHAnsi" w:cstheme="minorHAnsi"/>
                <w:sz w:val="16"/>
                <w:lang w:eastAsia="es-MX"/>
              </w:rPr>
              <w:t>No</w:t>
            </w:r>
          </w:p>
        </w:tc>
        <w:tc>
          <w:tcPr>
            <w:tcW w:w="239" w:type="pct"/>
            <w:vAlign w:val="center"/>
            <w:hideMark/>
          </w:tcPr>
          <w:p w14:paraId="1CADFDD1" w14:textId="77777777" w:rsidR="00D25998" w:rsidRPr="002150BE" w:rsidRDefault="005B2BFF" w:rsidP="007C6D37">
            <w:pPr>
              <w:spacing w:after="0" w:line="240" w:lineRule="auto"/>
              <w:jc w:val="center"/>
              <w:rPr>
                <w:rFonts w:asciiTheme="minorHAnsi" w:hAnsiTheme="minorHAnsi" w:cstheme="minorHAnsi"/>
                <w:sz w:val="16"/>
                <w:lang w:eastAsia="es-MX"/>
              </w:rPr>
            </w:pPr>
            <w:r w:rsidRPr="002150BE">
              <w:rPr>
                <w:rFonts w:asciiTheme="minorHAnsi" w:hAnsiTheme="minorHAnsi" w:cstheme="minorHAnsi"/>
                <w:sz w:val="16"/>
                <w:lang w:eastAsia="es-MX"/>
              </w:rPr>
              <w:t>X</w:t>
            </w:r>
          </w:p>
        </w:tc>
        <w:tc>
          <w:tcPr>
            <w:tcW w:w="1627" w:type="pct"/>
            <w:gridSpan w:val="3"/>
            <w:vAlign w:val="center"/>
            <w:hideMark/>
          </w:tcPr>
          <w:p w14:paraId="59EEF957" w14:textId="77777777" w:rsidR="00D25998" w:rsidRPr="002150BE" w:rsidRDefault="00D25998" w:rsidP="007C6D37">
            <w:pPr>
              <w:spacing w:after="0" w:line="240" w:lineRule="auto"/>
              <w:jc w:val="center"/>
              <w:rPr>
                <w:rFonts w:asciiTheme="minorHAnsi" w:hAnsiTheme="minorHAnsi" w:cstheme="minorHAnsi"/>
                <w:sz w:val="16"/>
                <w:lang w:eastAsia="es-MX"/>
              </w:rPr>
            </w:pPr>
            <w:r w:rsidRPr="002150BE">
              <w:rPr>
                <w:rFonts w:asciiTheme="minorHAnsi" w:hAnsiTheme="minorHAnsi" w:cstheme="minorHAnsi"/>
                <w:sz w:val="16"/>
                <w:lang w:eastAsia="es-MX"/>
              </w:rPr>
              <w:t>Parcial</w:t>
            </w:r>
          </w:p>
        </w:tc>
      </w:tr>
      <w:tr w:rsidR="00D25998" w:rsidRPr="002150BE" w14:paraId="69FE59BF" w14:textId="77777777" w:rsidTr="005B2BFF">
        <w:trPr>
          <w:trHeight w:val="454"/>
        </w:trPr>
        <w:tc>
          <w:tcPr>
            <w:tcW w:w="2052" w:type="pct"/>
            <w:gridSpan w:val="4"/>
            <w:vAlign w:val="center"/>
            <w:hideMark/>
          </w:tcPr>
          <w:p w14:paraId="1E712AC9" w14:textId="77777777" w:rsidR="00D25998" w:rsidRPr="002150BE" w:rsidRDefault="00D25998" w:rsidP="007C6D37">
            <w:pPr>
              <w:spacing w:after="0" w:line="240" w:lineRule="auto"/>
              <w:jc w:val="left"/>
              <w:rPr>
                <w:rFonts w:asciiTheme="minorHAnsi" w:hAnsiTheme="minorHAnsi" w:cstheme="minorHAnsi"/>
                <w:sz w:val="16"/>
                <w:lang w:eastAsia="es-MX"/>
              </w:rPr>
            </w:pPr>
            <w:r w:rsidRPr="002150BE">
              <w:rPr>
                <w:rFonts w:asciiTheme="minorHAnsi" w:hAnsiTheme="minorHAnsi" w:cstheme="minorHAnsi"/>
                <w:sz w:val="16"/>
                <w:lang w:eastAsia="es-MX"/>
              </w:rPr>
              <w:t>Metas a corto plazo factibles</w:t>
            </w:r>
          </w:p>
        </w:tc>
        <w:tc>
          <w:tcPr>
            <w:tcW w:w="224" w:type="pct"/>
            <w:vAlign w:val="center"/>
            <w:hideMark/>
          </w:tcPr>
          <w:p w14:paraId="76831936" w14:textId="77777777" w:rsidR="00D25998" w:rsidRPr="002150BE" w:rsidRDefault="005B2BFF" w:rsidP="007C6D37">
            <w:pPr>
              <w:spacing w:after="0" w:line="240" w:lineRule="auto"/>
              <w:jc w:val="center"/>
              <w:rPr>
                <w:rFonts w:asciiTheme="minorHAnsi" w:hAnsiTheme="minorHAnsi" w:cstheme="minorHAnsi"/>
                <w:sz w:val="16"/>
                <w:lang w:eastAsia="es-MX"/>
              </w:rPr>
            </w:pPr>
            <w:r w:rsidRPr="002150BE">
              <w:rPr>
                <w:rFonts w:asciiTheme="minorHAnsi" w:hAnsiTheme="minorHAnsi" w:cstheme="minorHAnsi"/>
                <w:sz w:val="16"/>
                <w:lang w:eastAsia="es-MX"/>
              </w:rPr>
              <w:t>X</w:t>
            </w:r>
          </w:p>
        </w:tc>
        <w:tc>
          <w:tcPr>
            <w:tcW w:w="219" w:type="pct"/>
            <w:vAlign w:val="center"/>
            <w:hideMark/>
          </w:tcPr>
          <w:p w14:paraId="1E6B35AA" w14:textId="77777777" w:rsidR="00D25998" w:rsidRPr="002150BE" w:rsidRDefault="00D25998" w:rsidP="007C6D37">
            <w:pPr>
              <w:spacing w:after="0" w:line="240" w:lineRule="auto"/>
              <w:jc w:val="center"/>
              <w:rPr>
                <w:rFonts w:asciiTheme="minorHAnsi" w:hAnsiTheme="minorHAnsi" w:cstheme="minorHAnsi"/>
                <w:sz w:val="16"/>
                <w:lang w:eastAsia="es-MX"/>
              </w:rPr>
            </w:pPr>
            <w:r w:rsidRPr="002150BE">
              <w:rPr>
                <w:rFonts w:asciiTheme="minorHAnsi" w:hAnsiTheme="minorHAnsi" w:cstheme="minorHAnsi"/>
                <w:sz w:val="16"/>
                <w:lang w:eastAsia="es-MX"/>
              </w:rPr>
              <w:t>Si</w:t>
            </w:r>
          </w:p>
        </w:tc>
        <w:tc>
          <w:tcPr>
            <w:tcW w:w="224" w:type="pct"/>
            <w:vAlign w:val="center"/>
            <w:hideMark/>
          </w:tcPr>
          <w:p w14:paraId="11F676C7" w14:textId="77777777" w:rsidR="00D25998" w:rsidRPr="002150BE" w:rsidRDefault="00D25998" w:rsidP="007C6D37">
            <w:pPr>
              <w:spacing w:after="0" w:line="240" w:lineRule="auto"/>
              <w:jc w:val="center"/>
              <w:rPr>
                <w:rFonts w:asciiTheme="minorHAnsi" w:hAnsiTheme="minorHAnsi" w:cstheme="minorHAnsi"/>
                <w:sz w:val="16"/>
                <w:lang w:eastAsia="es-MX"/>
              </w:rPr>
            </w:pPr>
          </w:p>
        </w:tc>
        <w:tc>
          <w:tcPr>
            <w:tcW w:w="416" w:type="pct"/>
            <w:vAlign w:val="center"/>
            <w:hideMark/>
          </w:tcPr>
          <w:p w14:paraId="373776BA" w14:textId="77777777" w:rsidR="00D25998" w:rsidRPr="002150BE" w:rsidRDefault="00D25998" w:rsidP="007C6D37">
            <w:pPr>
              <w:spacing w:after="0" w:line="240" w:lineRule="auto"/>
              <w:jc w:val="center"/>
              <w:rPr>
                <w:rFonts w:asciiTheme="minorHAnsi" w:hAnsiTheme="minorHAnsi" w:cstheme="minorHAnsi"/>
                <w:sz w:val="16"/>
                <w:lang w:eastAsia="es-MX"/>
              </w:rPr>
            </w:pPr>
            <w:r w:rsidRPr="002150BE">
              <w:rPr>
                <w:rFonts w:asciiTheme="minorHAnsi" w:hAnsiTheme="minorHAnsi" w:cstheme="minorHAnsi"/>
                <w:sz w:val="16"/>
                <w:lang w:eastAsia="es-MX"/>
              </w:rPr>
              <w:t>No</w:t>
            </w:r>
          </w:p>
        </w:tc>
        <w:tc>
          <w:tcPr>
            <w:tcW w:w="239" w:type="pct"/>
            <w:vAlign w:val="center"/>
            <w:hideMark/>
          </w:tcPr>
          <w:p w14:paraId="65D28D84" w14:textId="77777777" w:rsidR="00D25998" w:rsidRPr="002150BE" w:rsidRDefault="00D25998" w:rsidP="007C6D37">
            <w:pPr>
              <w:spacing w:after="0" w:line="240" w:lineRule="auto"/>
              <w:jc w:val="center"/>
              <w:rPr>
                <w:rFonts w:asciiTheme="minorHAnsi" w:hAnsiTheme="minorHAnsi" w:cstheme="minorHAnsi"/>
                <w:sz w:val="16"/>
                <w:lang w:eastAsia="es-MX"/>
              </w:rPr>
            </w:pPr>
          </w:p>
        </w:tc>
        <w:tc>
          <w:tcPr>
            <w:tcW w:w="1627" w:type="pct"/>
            <w:gridSpan w:val="3"/>
            <w:vAlign w:val="center"/>
            <w:hideMark/>
          </w:tcPr>
          <w:p w14:paraId="598BF9E3" w14:textId="77777777" w:rsidR="00D25998" w:rsidRPr="002150BE" w:rsidRDefault="00D25998" w:rsidP="007C6D37">
            <w:pPr>
              <w:spacing w:after="0" w:line="240" w:lineRule="auto"/>
              <w:jc w:val="center"/>
              <w:rPr>
                <w:rFonts w:asciiTheme="minorHAnsi" w:hAnsiTheme="minorHAnsi" w:cstheme="minorHAnsi"/>
                <w:sz w:val="16"/>
                <w:lang w:eastAsia="es-MX"/>
              </w:rPr>
            </w:pPr>
            <w:r w:rsidRPr="002150BE">
              <w:rPr>
                <w:rFonts w:asciiTheme="minorHAnsi" w:hAnsiTheme="minorHAnsi" w:cstheme="minorHAnsi"/>
                <w:sz w:val="16"/>
                <w:lang w:eastAsia="es-MX"/>
              </w:rPr>
              <w:t>Parcial</w:t>
            </w:r>
          </w:p>
        </w:tc>
      </w:tr>
      <w:tr w:rsidR="00D25998" w:rsidRPr="002150BE" w14:paraId="449A422C" w14:textId="77777777" w:rsidTr="005B2BFF">
        <w:trPr>
          <w:trHeight w:val="454"/>
        </w:trPr>
        <w:tc>
          <w:tcPr>
            <w:tcW w:w="2052" w:type="pct"/>
            <w:gridSpan w:val="4"/>
            <w:vAlign w:val="center"/>
            <w:hideMark/>
          </w:tcPr>
          <w:p w14:paraId="5DC5DDE2" w14:textId="77777777" w:rsidR="00D25998" w:rsidRPr="002150BE" w:rsidRDefault="00D25998" w:rsidP="007C6D37">
            <w:pPr>
              <w:spacing w:after="0" w:line="240" w:lineRule="auto"/>
              <w:jc w:val="left"/>
              <w:rPr>
                <w:rFonts w:asciiTheme="minorHAnsi" w:hAnsiTheme="minorHAnsi" w:cstheme="minorHAnsi"/>
                <w:sz w:val="16"/>
                <w:lang w:eastAsia="es-MX"/>
              </w:rPr>
            </w:pPr>
            <w:r w:rsidRPr="002150BE">
              <w:rPr>
                <w:rFonts w:asciiTheme="minorHAnsi" w:hAnsiTheme="minorHAnsi" w:cstheme="minorHAnsi"/>
                <w:sz w:val="16"/>
                <w:lang w:eastAsia="es-MX"/>
              </w:rPr>
              <w:t>Análisis de posibles riesgos o amenazas que vulneren el cumplimiento de las metas</w:t>
            </w:r>
          </w:p>
        </w:tc>
        <w:tc>
          <w:tcPr>
            <w:tcW w:w="224" w:type="pct"/>
            <w:noWrap/>
            <w:vAlign w:val="center"/>
            <w:hideMark/>
          </w:tcPr>
          <w:p w14:paraId="0ADE1DB7" w14:textId="77777777" w:rsidR="00D25998" w:rsidRPr="002150BE" w:rsidRDefault="00D25998" w:rsidP="007C6D37">
            <w:pPr>
              <w:spacing w:after="0" w:line="240" w:lineRule="auto"/>
              <w:jc w:val="center"/>
              <w:rPr>
                <w:rFonts w:asciiTheme="minorHAnsi" w:hAnsiTheme="minorHAnsi" w:cstheme="minorHAnsi"/>
                <w:color w:val="000000"/>
                <w:sz w:val="16"/>
                <w:lang w:eastAsia="es-MX"/>
              </w:rPr>
            </w:pPr>
          </w:p>
        </w:tc>
        <w:tc>
          <w:tcPr>
            <w:tcW w:w="219" w:type="pct"/>
            <w:vAlign w:val="center"/>
            <w:hideMark/>
          </w:tcPr>
          <w:p w14:paraId="0626BD91" w14:textId="77777777" w:rsidR="00D25998" w:rsidRPr="002150BE" w:rsidRDefault="00D25998" w:rsidP="007C6D37">
            <w:pPr>
              <w:spacing w:after="0" w:line="240" w:lineRule="auto"/>
              <w:jc w:val="center"/>
              <w:rPr>
                <w:rFonts w:asciiTheme="minorHAnsi" w:hAnsiTheme="minorHAnsi" w:cstheme="minorHAnsi"/>
                <w:sz w:val="16"/>
                <w:lang w:eastAsia="es-MX"/>
              </w:rPr>
            </w:pPr>
            <w:r w:rsidRPr="002150BE">
              <w:rPr>
                <w:rFonts w:asciiTheme="minorHAnsi" w:hAnsiTheme="minorHAnsi" w:cstheme="minorHAnsi"/>
                <w:sz w:val="16"/>
                <w:lang w:eastAsia="es-MX"/>
              </w:rPr>
              <w:t>Si</w:t>
            </w:r>
          </w:p>
        </w:tc>
        <w:tc>
          <w:tcPr>
            <w:tcW w:w="224" w:type="pct"/>
            <w:vAlign w:val="center"/>
            <w:hideMark/>
          </w:tcPr>
          <w:p w14:paraId="17430D1D" w14:textId="77777777" w:rsidR="00D25998" w:rsidRPr="002150BE" w:rsidRDefault="00D25998" w:rsidP="007C6D37">
            <w:pPr>
              <w:spacing w:after="0" w:line="240" w:lineRule="auto"/>
              <w:jc w:val="center"/>
              <w:rPr>
                <w:rFonts w:asciiTheme="minorHAnsi" w:hAnsiTheme="minorHAnsi" w:cstheme="minorHAnsi"/>
                <w:sz w:val="16"/>
                <w:lang w:eastAsia="es-MX"/>
              </w:rPr>
            </w:pPr>
          </w:p>
        </w:tc>
        <w:tc>
          <w:tcPr>
            <w:tcW w:w="416" w:type="pct"/>
            <w:vAlign w:val="center"/>
            <w:hideMark/>
          </w:tcPr>
          <w:p w14:paraId="025AD62C" w14:textId="77777777" w:rsidR="00D25998" w:rsidRPr="002150BE" w:rsidRDefault="00D25998" w:rsidP="007C6D37">
            <w:pPr>
              <w:spacing w:after="0" w:line="240" w:lineRule="auto"/>
              <w:jc w:val="center"/>
              <w:rPr>
                <w:rFonts w:asciiTheme="minorHAnsi" w:hAnsiTheme="minorHAnsi" w:cstheme="minorHAnsi"/>
                <w:sz w:val="16"/>
                <w:lang w:eastAsia="es-MX"/>
              </w:rPr>
            </w:pPr>
            <w:r w:rsidRPr="002150BE">
              <w:rPr>
                <w:rFonts w:asciiTheme="minorHAnsi" w:hAnsiTheme="minorHAnsi" w:cstheme="minorHAnsi"/>
                <w:sz w:val="16"/>
                <w:lang w:eastAsia="es-MX"/>
              </w:rPr>
              <w:t>No</w:t>
            </w:r>
          </w:p>
        </w:tc>
        <w:tc>
          <w:tcPr>
            <w:tcW w:w="239" w:type="pct"/>
            <w:vAlign w:val="center"/>
            <w:hideMark/>
          </w:tcPr>
          <w:p w14:paraId="71D71825" w14:textId="77777777" w:rsidR="00D25998" w:rsidRPr="002150BE" w:rsidRDefault="005B2BFF" w:rsidP="007C6D37">
            <w:pPr>
              <w:spacing w:after="0" w:line="240" w:lineRule="auto"/>
              <w:jc w:val="center"/>
              <w:rPr>
                <w:rFonts w:asciiTheme="minorHAnsi" w:hAnsiTheme="minorHAnsi" w:cstheme="minorHAnsi"/>
                <w:sz w:val="16"/>
                <w:lang w:eastAsia="es-MX"/>
              </w:rPr>
            </w:pPr>
            <w:r w:rsidRPr="002150BE">
              <w:rPr>
                <w:rFonts w:asciiTheme="minorHAnsi" w:hAnsiTheme="minorHAnsi" w:cstheme="minorHAnsi"/>
                <w:sz w:val="16"/>
                <w:lang w:eastAsia="es-MX"/>
              </w:rPr>
              <w:t>X</w:t>
            </w:r>
          </w:p>
        </w:tc>
        <w:tc>
          <w:tcPr>
            <w:tcW w:w="1627" w:type="pct"/>
            <w:gridSpan w:val="3"/>
            <w:vAlign w:val="center"/>
            <w:hideMark/>
          </w:tcPr>
          <w:p w14:paraId="63C62C31" w14:textId="77777777" w:rsidR="00D25998" w:rsidRPr="002150BE" w:rsidRDefault="00D25998" w:rsidP="007C6D37">
            <w:pPr>
              <w:spacing w:after="0" w:line="240" w:lineRule="auto"/>
              <w:jc w:val="center"/>
              <w:rPr>
                <w:rFonts w:asciiTheme="minorHAnsi" w:hAnsiTheme="minorHAnsi" w:cstheme="minorHAnsi"/>
                <w:sz w:val="16"/>
                <w:lang w:eastAsia="es-MX"/>
              </w:rPr>
            </w:pPr>
            <w:r w:rsidRPr="002150BE">
              <w:rPr>
                <w:rFonts w:asciiTheme="minorHAnsi" w:hAnsiTheme="minorHAnsi" w:cstheme="minorHAnsi"/>
                <w:sz w:val="16"/>
                <w:lang w:eastAsia="es-MX"/>
              </w:rPr>
              <w:t>Parcial</w:t>
            </w:r>
          </w:p>
        </w:tc>
      </w:tr>
      <w:tr w:rsidR="00D25998" w:rsidRPr="002150BE" w14:paraId="45F4B07B" w14:textId="77777777" w:rsidTr="005B2BFF">
        <w:trPr>
          <w:trHeight w:val="454"/>
        </w:trPr>
        <w:tc>
          <w:tcPr>
            <w:tcW w:w="2052" w:type="pct"/>
            <w:gridSpan w:val="4"/>
            <w:vAlign w:val="center"/>
            <w:hideMark/>
          </w:tcPr>
          <w:p w14:paraId="6CE95AD0" w14:textId="77777777" w:rsidR="00D25998" w:rsidRPr="002150BE" w:rsidRDefault="00D25998" w:rsidP="007C6D37">
            <w:pPr>
              <w:spacing w:after="0" w:line="240" w:lineRule="auto"/>
              <w:jc w:val="left"/>
              <w:rPr>
                <w:rFonts w:asciiTheme="minorHAnsi" w:hAnsiTheme="minorHAnsi" w:cstheme="minorHAnsi"/>
                <w:sz w:val="16"/>
                <w:lang w:eastAsia="es-MX"/>
              </w:rPr>
            </w:pPr>
            <w:r w:rsidRPr="002150BE">
              <w:rPr>
                <w:rFonts w:asciiTheme="minorHAnsi" w:hAnsiTheme="minorHAnsi" w:cstheme="minorHAnsi"/>
                <w:sz w:val="16"/>
                <w:lang w:eastAsia="es-MX"/>
              </w:rPr>
              <w:t>Indicadores claros</w:t>
            </w:r>
          </w:p>
        </w:tc>
        <w:tc>
          <w:tcPr>
            <w:tcW w:w="224" w:type="pct"/>
            <w:noWrap/>
            <w:vAlign w:val="center"/>
            <w:hideMark/>
          </w:tcPr>
          <w:p w14:paraId="4F4DCCAE" w14:textId="77777777" w:rsidR="00D25998" w:rsidRPr="002150BE" w:rsidRDefault="00D25998" w:rsidP="007C6D37">
            <w:pPr>
              <w:spacing w:after="0" w:line="240" w:lineRule="auto"/>
              <w:jc w:val="center"/>
              <w:rPr>
                <w:rFonts w:asciiTheme="minorHAnsi" w:hAnsiTheme="minorHAnsi" w:cstheme="minorHAnsi"/>
                <w:color w:val="000000"/>
                <w:sz w:val="16"/>
                <w:lang w:eastAsia="es-MX"/>
              </w:rPr>
            </w:pPr>
          </w:p>
        </w:tc>
        <w:tc>
          <w:tcPr>
            <w:tcW w:w="219" w:type="pct"/>
            <w:vAlign w:val="center"/>
            <w:hideMark/>
          </w:tcPr>
          <w:p w14:paraId="76B2176F" w14:textId="77777777" w:rsidR="00D25998" w:rsidRPr="002150BE" w:rsidRDefault="00D25998" w:rsidP="007C6D37">
            <w:pPr>
              <w:spacing w:after="0" w:line="240" w:lineRule="auto"/>
              <w:jc w:val="center"/>
              <w:rPr>
                <w:rFonts w:asciiTheme="minorHAnsi" w:hAnsiTheme="minorHAnsi" w:cstheme="minorHAnsi"/>
                <w:sz w:val="16"/>
                <w:lang w:eastAsia="es-MX"/>
              </w:rPr>
            </w:pPr>
            <w:r w:rsidRPr="002150BE">
              <w:rPr>
                <w:rFonts w:asciiTheme="minorHAnsi" w:hAnsiTheme="minorHAnsi" w:cstheme="minorHAnsi"/>
                <w:sz w:val="16"/>
                <w:lang w:eastAsia="es-MX"/>
              </w:rPr>
              <w:t>Si</w:t>
            </w:r>
          </w:p>
        </w:tc>
        <w:tc>
          <w:tcPr>
            <w:tcW w:w="224" w:type="pct"/>
            <w:vAlign w:val="center"/>
            <w:hideMark/>
          </w:tcPr>
          <w:p w14:paraId="2939F091" w14:textId="77777777" w:rsidR="00D25998" w:rsidRPr="002150BE" w:rsidRDefault="00D25998" w:rsidP="007C6D37">
            <w:pPr>
              <w:spacing w:after="0" w:line="240" w:lineRule="auto"/>
              <w:jc w:val="center"/>
              <w:rPr>
                <w:rFonts w:asciiTheme="minorHAnsi" w:hAnsiTheme="minorHAnsi" w:cstheme="minorHAnsi"/>
                <w:sz w:val="16"/>
                <w:lang w:eastAsia="es-MX"/>
              </w:rPr>
            </w:pPr>
          </w:p>
        </w:tc>
        <w:tc>
          <w:tcPr>
            <w:tcW w:w="416" w:type="pct"/>
            <w:vAlign w:val="center"/>
            <w:hideMark/>
          </w:tcPr>
          <w:p w14:paraId="2ECEAC3D" w14:textId="77777777" w:rsidR="00D25998" w:rsidRPr="002150BE" w:rsidRDefault="00D25998" w:rsidP="007C6D37">
            <w:pPr>
              <w:spacing w:after="0" w:line="240" w:lineRule="auto"/>
              <w:jc w:val="center"/>
              <w:rPr>
                <w:rFonts w:asciiTheme="minorHAnsi" w:hAnsiTheme="minorHAnsi" w:cstheme="minorHAnsi"/>
                <w:sz w:val="16"/>
                <w:lang w:eastAsia="es-MX"/>
              </w:rPr>
            </w:pPr>
            <w:r w:rsidRPr="002150BE">
              <w:rPr>
                <w:rFonts w:asciiTheme="minorHAnsi" w:hAnsiTheme="minorHAnsi" w:cstheme="minorHAnsi"/>
                <w:sz w:val="16"/>
                <w:lang w:eastAsia="es-MX"/>
              </w:rPr>
              <w:t>No</w:t>
            </w:r>
          </w:p>
        </w:tc>
        <w:tc>
          <w:tcPr>
            <w:tcW w:w="239" w:type="pct"/>
            <w:vAlign w:val="center"/>
            <w:hideMark/>
          </w:tcPr>
          <w:p w14:paraId="49B27787" w14:textId="77777777" w:rsidR="00D25998" w:rsidRPr="002150BE" w:rsidRDefault="005B2BFF" w:rsidP="007C6D37">
            <w:pPr>
              <w:spacing w:after="0" w:line="240" w:lineRule="auto"/>
              <w:jc w:val="center"/>
              <w:rPr>
                <w:rFonts w:asciiTheme="minorHAnsi" w:hAnsiTheme="minorHAnsi" w:cstheme="minorHAnsi"/>
                <w:sz w:val="16"/>
                <w:lang w:eastAsia="es-MX"/>
              </w:rPr>
            </w:pPr>
            <w:r w:rsidRPr="002150BE">
              <w:rPr>
                <w:rFonts w:asciiTheme="minorHAnsi" w:hAnsiTheme="minorHAnsi" w:cstheme="minorHAnsi"/>
                <w:sz w:val="16"/>
                <w:lang w:eastAsia="es-MX"/>
              </w:rPr>
              <w:t>X</w:t>
            </w:r>
          </w:p>
        </w:tc>
        <w:tc>
          <w:tcPr>
            <w:tcW w:w="1627" w:type="pct"/>
            <w:gridSpan w:val="3"/>
            <w:vAlign w:val="center"/>
            <w:hideMark/>
          </w:tcPr>
          <w:p w14:paraId="5EA047F0" w14:textId="77777777" w:rsidR="00D25998" w:rsidRPr="002150BE" w:rsidRDefault="00D25998" w:rsidP="007C6D37">
            <w:pPr>
              <w:spacing w:after="0" w:line="240" w:lineRule="auto"/>
              <w:jc w:val="center"/>
              <w:rPr>
                <w:rFonts w:asciiTheme="minorHAnsi" w:hAnsiTheme="minorHAnsi" w:cstheme="minorHAnsi"/>
                <w:sz w:val="16"/>
                <w:lang w:eastAsia="es-MX"/>
              </w:rPr>
            </w:pPr>
            <w:r w:rsidRPr="002150BE">
              <w:rPr>
                <w:rFonts w:asciiTheme="minorHAnsi" w:hAnsiTheme="minorHAnsi" w:cstheme="minorHAnsi"/>
                <w:sz w:val="16"/>
                <w:lang w:eastAsia="es-MX"/>
              </w:rPr>
              <w:t>Parcial</w:t>
            </w:r>
          </w:p>
        </w:tc>
      </w:tr>
    </w:tbl>
    <w:p w14:paraId="572346E8" w14:textId="77777777" w:rsidR="007C6D37" w:rsidRPr="002150BE" w:rsidRDefault="007C6D37" w:rsidP="00AD62D4">
      <w:pPr>
        <w:rPr>
          <w:rFonts w:asciiTheme="minorHAnsi" w:hAnsiTheme="minorHAnsi" w:cstheme="minorHAnsi"/>
          <w:lang w:val="es-ES"/>
        </w:rPr>
      </w:pPr>
    </w:p>
    <w:p w14:paraId="7F642584" w14:textId="77777777" w:rsidR="007C6D37" w:rsidRPr="002150BE" w:rsidRDefault="007C6D37">
      <w:pPr>
        <w:spacing w:line="276" w:lineRule="auto"/>
        <w:jc w:val="left"/>
        <w:rPr>
          <w:rFonts w:asciiTheme="minorHAnsi" w:hAnsiTheme="minorHAnsi" w:cstheme="minorHAnsi"/>
          <w:lang w:val="es-ES"/>
        </w:rPr>
      </w:pPr>
      <w:r w:rsidRPr="002150BE">
        <w:rPr>
          <w:rFonts w:asciiTheme="minorHAnsi" w:hAnsiTheme="minorHAnsi" w:cstheme="minorHAnsi"/>
          <w:lang w:val="es-ES"/>
        </w:rPr>
        <w:br w:type="page"/>
      </w:r>
    </w:p>
    <w:tbl>
      <w:tblPr>
        <w:tblStyle w:val="Tablaconcuadrcula1"/>
        <w:tblW w:w="5379" w:type="pct"/>
        <w:tblInd w:w="-28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7415"/>
        <w:gridCol w:w="583"/>
        <w:gridCol w:w="582"/>
        <w:gridCol w:w="290"/>
        <w:gridCol w:w="438"/>
        <w:gridCol w:w="432"/>
      </w:tblGrid>
      <w:tr w:rsidR="00351D39" w:rsidRPr="002150BE" w14:paraId="65B42D39" w14:textId="77777777" w:rsidTr="006A35CD">
        <w:trPr>
          <w:trHeight w:val="454"/>
        </w:trPr>
        <w:tc>
          <w:tcPr>
            <w:tcW w:w="5000" w:type="pct"/>
            <w:gridSpan w:val="6"/>
            <w:shd w:val="clear" w:color="auto" w:fill="404040" w:themeFill="text1" w:themeFillTint="BF"/>
            <w:vAlign w:val="center"/>
          </w:tcPr>
          <w:p w14:paraId="40004718" w14:textId="77777777" w:rsidR="00351D39" w:rsidRPr="002150BE" w:rsidRDefault="00351D39" w:rsidP="006A35CD">
            <w:pPr>
              <w:spacing w:line="240" w:lineRule="auto"/>
              <w:jc w:val="center"/>
              <w:rPr>
                <w:rFonts w:asciiTheme="minorHAnsi" w:hAnsiTheme="minorHAnsi" w:cstheme="minorHAnsi"/>
                <w:b/>
                <w:bCs/>
                <w:highlight w:val="yellow"/>
                <w:lang w:val="es-ES"/>
              </w:rPr>
            </w:pPr>
            <w:r w:rsidRPr="002150BE">
              <w:rPr>
                <w:rFonts w:asciiTheme="minorHAnsi" w:hAnsiTheme="minorHAnsi" w:cstheme="minorHAnsi"/>
                <w:b/>
                <w:bCs/>
                <w:color w:val="FFFFFF" w:themeColor="background1"/>
                <w:lang w:val="es-ES"/>
              </w:rPr>
              <w:lastRenderedPageBreak/>
              <w:t xml:space="preserve">ANEXO 3.1. </w:t>
            </w:r>
            <w:r w:rsidRPr="002150BE">
              <w:rPr>
                <w:rFonts w:asciiTheme="minorHAnsi" w:eastAsiaTheme="majorEastAsia" w:hAnsiTheme="minorHAnsi" w:cstheme="minorHAnsi"/>
                <w:b/>
                <w:bCs/>
                <w:color w:val="FFFFFF" w:themeColor="background1"/>
                <w:lang w:val="es-ES"/>
              </w:rPr>
              <w:t>IDENTIFICACIÓN DE LA PERSPECTIVA DE GÉNERO</w:t>
            </w:r>
          </w:p>
        </w:tc>
      </w:tr>
      <w:tr w:rsidR="00351D39" w:rsidRPr="002150BE" w14:paraId="0200A6EF" w14:textId="77777777" w:rsidTr="00186F3F">
        <w:trPr>
          <w:trHeight w:val="70"/>
        </w:trPr>
        <w:tc>
          <w:tcPr>
            <w:tcW w:w="3806" w:type="pct"/>
            <w:vMerge w:val="restart"/>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808080" w:themeFill="background1" w:themeFillShade="80"/>
            <w:vAlign w:val="center"/>
          </w:tcPr>
          <w:p w14:paraId="13DF19E7" w14:textId="77777777" w:rsidR="00351D39" w:rsidRPr="002150BE" w:rsidRDefault="00351D39" w:rsidP="006A35CD">
            <w:pPr>
              <w:pStyle w:val="Prrafodelista"/>
              <w:ind w:left="0"/>
              <w:jc w:val="center"/>
              <w:rPr>
                <w:rFonts w:asciiTheme="minorHAnsi" w:hAnsiTheme="minorHAnsi" w:cstheme="minorHAnsi"/>
                <w:b/>
                <w:color w:val="FFFFFF" w:themeColor="background1"/>
                <w:szCs w:val="20"/>
              </w:rPr>
            </w:pPr>
            <w:r w:rsidRPr="002150BE">
              <w:rPr>
                <w:rFonts w:asciiTheme="minorHAnsi" w:hAnsiTheme="minorHAnsi" w:cstheme="minorHAnsi"/>
                <w:b/>
                <w:color w:val="FFFFFF" w:themeColor="background1"/>
                <w:szCs w:val="20"/>
              </w:rPr>
              <w:t>Resultados</w:t>
            </w:r>
          </w:p>
        </w:tc>
        <w:tc>
          <w:tcPr>
            <w:tcW w:w="299" w:type="pct"/>
            <w:vMerge w:val="restart"/>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808080" w:themeFill="background1" w:themeFillShade="80"/>
            <w:vAlign w:val="center"/>
          </w:tcPr>
          <w:p w14:paraId="70F1736E" w14:textId="77777777" w:rsidR="00351D39" w:rsidRPr="002150BE" w:rsidRDefault="00351D39" w:rsidP="006A35CD">
            <w:pPr>
              <w:pStyle w:val="Prrafodelista"/>
              <w:ind w:left="-109" w:right="-178"/>
              <w:jc w:val="center"/>
              <w:rPr>
                <w:rFonts w:asciiTheme="minorHAnsi" w:hAnsiTheme="minorHAnsi" w:cstheme="minorHAnsi"/>
                <w:b/>
                <w:color w:val="FFFFFF" w:themeColor="background1"/>
                <w:szCs w:val="20"/>
              </w:rPr>
            </w:pPr>
            <w:r w:rsidRPr="002150BE">
              <w:rPr>
                <w:rFonts w:asciiTheme="minorHAnsi" w:hAnsiTheme="minorHAnsi" w:cstheme="minorHAnsi"/>
                <w:b/>
                <w:color w:val="FFFFFF" w:themeColor="background1"/>
                <w:szCs w:val="20"/>
              </w:rPr>
              <w:t>No</w:t>
            </w:r>
          </w:p>
        </w:tc>
        <w:tc>
          <w:tcPr>
            <w:tcW w:w="299" w:type="pct"/>
            <w:vMerge w:val="restart"/>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808080" w:themeFill="background1" w:themeFillShade="80"/>
            <w:vAlign w:val="center"/>
          </w:tcPr>
          <w:p w14:paraId="79E62BDB" w14:textId="77777777" w:rsidR="00351D39" w:rsidRPr="002150BE" w:rsidRDefault="00351D39" w:rsidP="006A35CD">
            <w:pPr>
              <w:jc w:val="center"/>
              <w:rPr>
                <w:rFonts w:asciiTheme="minorHAnsi" w:hAnsiTheme="minorHAnsi" w:cstheme="minorHAnsi"/>
                <w:b/>
                <w:color w:val="FFFFFF" w:themeColor="background1"/>
                <w:szCs w:val="20"/>
              </w:rPr>
            </w:pPr>
            <w:r w:rsidRPr="002150BE">
              <w:rPr>
                <w:rFonts w:asciiTheme="minorHAnsi" w:hAnsiTheme="minorHAnsi" w:cstheme="minorHAnsi"/>
                <w:b/>
                <w:color w:val="FFFFFF" w:themeColor="background1"/>
                <w:szCs w:val="20"/>
              </w:rPr>
              <w:t>NA</w:t>
            </w:r>
          </w:p>
        </w:tc>
        <w:tc>
          <w:tcPr>
            <w:tcW w:w="595" w:type="pct"/>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808080" w:themeFill="background1" w:themeFillShade="80"/>
            <w:vAlign w:val="center"/>
          </w:tcPr>
          <w:p w14:paraId="0E2D7C27" w14:textId="77777777" w:rsidR="00351D39" w:rsidRPr="002150BE" w:rsidRDefault="00351D39" w:rsidP="006A35CD">
            <w:pPr>
              <w:jc w:val="center"/>
              <w:rPr>
                <w:rFonts w:asciiTheme="minorHAnsi" w:hAnsiTheme="minorHAnsi" w:cstheme="minorHAnsi"/>
                <w:b/>
                <w:color w:val="FFFFFF" w:themeColor="background1"/>
                <w:szCs w:val="20"/>
              </w:rPr>
            </w:pPr>
            <w:r w:rsidRPr="002150BE">
              <w:rPr>
                <w:rFonts w:asciiTheme="minorHAnsi" w:hAnsiTheme="minorHAnsi" w:cstheme="minorHAnsi"/>
                <w:b/>
                <w:color w:val="FFFFFF" w:themeColor="background1"/>
                <w:szCs w:val="20"/>
              </w:rPr>
              <w:t>Sí</w:t>
            </w:r>
          </w:p>
        </w:tc>
      </w:tr>
      <w:tr w:rsidR="00351D39" w:rsidRPr="002150BE" w14:paraId="35A89B89" w14:textId="77777777" w:rsidTr="006A35CD">
        <w:trPr>
          <w:trHeight w:val="70"/>
        </w:trPr>
        <w:tc>
          <w:tcPr>
            <w:tcW w:w="3806" w:type="pct"/>
            <w:vMerge/>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808080" w:themeFill="background1" w:themeFillShade="80"/>
          </w:tcPr>
          <w:p w14:paraId="6E10CC3A" w14:textId="77777777" w:rsidR="00351D39" w:rsidRPr="002150BE" w:rsidRDefault="00351D39" w:rsidP="006A35CD">
            <w:pPr>
              <w:pStyle w:val="Prrafodelista"/>
              <w:ind w:left="0"/>
              <w:rPr>
                <w:rFonts w:asciiTheme="minorHAnsi" w:hAnsiTheme="minorHAnsi" w:cstheme="minorHAnsi"/>
                <w:b/>
                <w:color w:val="FFFFFF" w:themeColor="background1"/>
                <w:szCs w:val="20"/>
              </w:rPr>
            </w:pPr>
          </w:p>
        </w:tc>
        <w:tc>
          <w:tcPr>
            <w:tcW w:w="299" w:type="pct"/>
            <w:vMerge/>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808080" w:themeFill="background1" w:themeFillShade="80"/>
            <w:vAlign w:val="center"/>
          </w:tcPr>
          <w:p w14:paraId="1577D020" w14:textId="77777777" w:rsidR="00351D39" w:rsidRPr="002150BE" w:rsidRDefault="00351D39" w:rsidP="006A35CD">
            <w:pPr>
              <w:pStyle w:val="Prrafodelista"/>
              <w:ind w:left="-109" w:right="-178"/>
              <w:jc w:val="center"/>
              <w:rPr>
                <w:rFonts w:asciiTheme="minorHAnsi" w:hAnsiTheme="minorHAnsi" w:cstheme="minorHAnsi"/>
                <w:b/>
                <w:color w:val="FFFFFF" w:themeColor="background1"/>
                <w:szCs w:val="20"/>
              </w:rPr>
            </w:pPr>
          </w:p>
        </w:tc>
        <w:tc>
          <w:tcPr>
            <w:tcW w:w="299" w:type="pct"/>
            <w:vMerge/>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808080" w:themeFill="background1" w:themeFillShade="80"/>
          </w:tcPr>
          <w:p w14:paraId="30781A31" w14:textId="77777777" w:rsidR="00351D39" w:rsidRPr="002150BE" w:rsidRDefault="00351D39" w:rsidP="006A35CD">
            <w:pPr>
              <w:jc w:val="center"/>
              <w:rPr>
                <w:rFonts w:asciiTheme="minorHAnsi" w:hAnsiTheme="minorHAnsi" w:cstheme="minorHAnsi"/>
                <w:b/>
                <w:color w:val="FFFFFF" w:themeColor="background1"/>
                <w:szCs w:val="20"/>
              </w:rPr>
            </w:pPr>
          </w:p>
        </w:tc>
        <w:tc>
          <w:tcPr>
            <w:tcW w:w="149" w:type="pct"/>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808080" w:themeFill="background1" w:themeFillShade="80"/>
            <w:vAlign w:val="center"/>
          </w:tcPr>
          <w:p w14:paraId="0A9196FB" w14:textId="77777777" w:rsidR="00351D39" w:rsidRPr="002150BE" w:rsidRDefault="00351D39" w:rsidP="006A35CD">
            <w:pPr>
              <w:jc w:val="center"/>
              <w:rPr>
                <w:rFonts w:asciiTheme="minorHAnsi" w:hAnsiTheme="minorHAnsi" w:cstheme="minorHAnsi"/>
                <w:b/>
                <w:color w:val="FFFFFF" w:themeColor="background1"/>
                <w:szCs w:val="20"/>
              </w:rPr>
            </w:pPr>
            <w:r w:rsidRPr="002150BE">
              <w:rPr>
                <w:rFonts w:asciiTheme="minorHAnsi" w:hAnsiTheme="minorHAnsi" w:cstheme="minorHAnsi"/>
                <w:b/>
                <w:color w:val="FFFFFF" w:themeColor="background1"/>
                <w:szCs w:val="20"/>
              </w:rPr>
              <w:t>1</w:t>
            </w:r>
          </w:p>
        </w:tc>
        <w:tc>
          <w:tcPr>
            <w:tcW w:w="225" w:type="pct"/>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808080" w:themeFill="background1" w:themeFillShade="80"/>
            <w:vAlign w:val="center"/>
          </w:tcPr>
          <w:p w14:paraId="0E59D21C" w14:textId="77777777" w:rsidR="00351D39" w:rsidRPr="002150BE" w:rsidRDefault="00351D39" w:rsidP="006A35CD">
            <w:pPr>
              <w:jc w:val="center"/>
              <w:rPr>
                <w:rFonts w:asciiTheme="minorHAnsi" w:hAnsiTheme="minorHAnsi" w:cstheme="minorHAnsi"/>
                <w:b/>
                <w:color w:val="FFFFFF" w:themeColor="background1"/>
                <w:szCs w:val="20"/>
              </w:rPr>
            </w:pPr>
            <w:r w:rsidRPr="002150BE">
              <w:rPr>
                <w:rFonts w:asciiTheme="minorHAnsi" w:hAnsiTheme="minorHAnsi" w:cstheme="minorHAnsi"/>
                <w:b/>
                <w:color w:val="FFFFFF" w:themeColor="background1"/>
                <w:szCs w:val="20"/>
              </w:rPr>
              <w:t>2</w:t>
            </w:r>
          </w:p>
        </w:tc>
        <w:tc>
          <w:tcPr>
            <w:tcW w:w="222" w:type="pct"/>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808080" w:themeFill="background1" w:themeFillShade="80"/>
            <w:vAlign w:val="center"/>
          </w:tcPr>
          <w:p w14:paraId="26DE351F" w14:textId="77777777" w:rsidR="00351D39" w:rsidRPr="002150BE" w:rsidRDefault="00351D39" w:rsidP="006A35CD">
            <w:pPr>
              <w:jc w:val="center"/>
              <w:rPr>
                <w:rFonts w:asciiTheme="minorHAnsi" w:hAnsiTheme="minorHAnsi" w:cstheme="minorHAnsi"/>
                <w:b/>
                <w:color w:val="FFFFFF" w:themeColor="background1"/>
                <w:szCs w:val="20"/>
              </w:rPr>
            </w:pPr>
            <w:r w:rsidRPr="002150BE">
              <w:rPr>
                <w:rFonts w:asciiTheme="minorHAnsi" w:hAnsiTheme="minorHAnsi" w:cstheme="minorHAnsi"/>
                <w:b/>
                <w:color w:val="FFFFFF" w:themeColor="background1"/>
                <w:szCs w:val="20"/>
              </w:rPr>
              <w:t>3</w:t>
            </w:r>
          </w:p>
        </w:tc>
      </w:tr>
    </w:tbl>
    <w:tbl>
      <w:tblPr>
        <w:tblStyle w:val="Tablaconcuadrcula"/>
        <w:tblW w:w="5379" w:type="pct"/>
        <w:tblInd w:w="-289"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ayout w:type="fixed"/>
        <w:tblLook w:val="04A0" w:firstRow="1" w:lastRow="0" w:firstColumn="1" w:lastColumn="0" w:noHBand="0" w:noVBand="1"/>
      </w:tblPr>
      <w:tblGrid>
        <w:gridCol w:w="7413"/>
        <w:gridCol w:w="583"/>
        <w:gridCol w:w="582"/>
        <w:gridCol w:w="292"/>
        <w:gridCol w:w="438"/>
        <w:gridCol w:w="432"/>
      </w:tblGrid>
      <w:tr w:rsidR="00351D39" w:rsidRPr="00186F3F" w14:paraId="6374BCF4" w14:textId="77777777" w:rsidTr="006A35CD">
        <w:tc>
          <w:tcPr>
            <w:tcW w:w="3805" w:type="pct"/>
            <w:tcBorders>
              <w:top w:val="single" w:sz="4" w:space="0" w:color="404040" w:themeColor="text1" w:themeTint="BF"/>
            </w:tcBorders>
          </w:tcPr>
          <w:p w14:paraId="2063B63B" w14:textId="77777777" w:rsidR="00351D39" w:rsidRPr="00186F3F" w:rsidRDefault="00351D39" w:rsidP="006E5E44">
            <w:pPr>
              <w:pStyle w:val="Prrafodelista"/>
              <w:numPr>
                <w:ilvl w:val="0"/>
                <w:numId w:val="49"/>
              </w:numPr>
              <w:spacing w:after="0" w:line="240" w:lineRule="auto"/>
              <w:ind w:left="596"/>
              <w:rPr>
                <w:rFonts w:asciiTheme="minorHAnsi" w:hAnsiTheme="minorHAnsi" w:cstheme="minorHAnsi"/>
                <w:sz w:val="18"/>
              </w:rPr>
            </w:pPr>
            <w:r w:rsidRPr="00186F3F">
              <w:rPr>
                <w:rFonts w:asciiTheme="minorHAnsi" w:hAnsiTheme="minorHAnsi" w:cstheme="minorHAnsi"/>
                <w:sz w:val="18"/>
              </w:rPr>
              <w:t xml:space="preserve">¿El programa tiene indicadores construidos con perspectiva de género para asegurar la igualdad de género o a la mejora de las condiciones de mujeres y niñas? Especificar en qué nivel de la MIR se ubican. </w:t>
            </w:r>
          </w:p>
        </w:tc>
        <w:tc>
          <w:tcPr>
            <w:tcW w:w="299" w:type="pct"/>
            <w:tcBorders>
              <w:top w:val="single" w:sz="4" w:space="0" w:color="404040" w:themeColor="text1" w:themeTint="BF"/>
            </w:tcBorders>
          </w:tcPr>
          <w:p w14:paraId="2C52B8A5" w14:textId="77777777" w:rsidR="00351D39" w:rsidRPr="00186F3F" w:rsidRDefault="00351D39" w:rsidP="006A35CD">
            <w:pPr>
              <w:ind w:left="349"/>
              <w:rPr>
                <w:rFonts w:asciiTheme="minorHAnsi" w:hAnsiTheme="minorHAnsi" w:cstheme="minorHAnsi"/>
                <w:sz w:val="18"/>
              </w:rPr>
            </w:pPr>
          </w:p>
        </w:tc>
        <w:tc>
          <w:tcPr>
            <w:tcW w:w="299" w:type="pct"/>
            <w:tcBorders>
              <w:top w:val="single" w:sz="4" w:space="0" w:color="404040" w:themeColor="text1" w:themeTint="BF"/>
            </w:tcBorders>
          </w:tcPr>
          <w:p w14:paraId="7C826928" w14:textId="77777777" w:rsidR="00351D39" w:rsidRPr="00186F3F" w:rsidRDefault="00351D39" w:rsidP="006A35CD">
            <w:pPr>
              <w:jc w:val="center"/>
              <w:rPr>
                <w:rFonts w:asciiTheme="minorHAnsi" w:hAnsiTheme="minorHAnsi" w:cstheme="minorHAnsi"/>
                <w:sz w:val="18"/>
              </w:rPr>
            </w:pPr>
          </w:p>
        </w:tc>
        <w:tc>
          <w:tcPr>
            <w:tcW w:w="150" w:type="pct"/>
            <w:tcBorders>
              <w:top w:val="single" w:sz="4" w:space="0" w:color="404040" w:themeColor="text1" w:themeTint="BF"/>
            </w:tcBorders>
            <w:shd w:val="clear" w:color="auto" w:fill="FFFFFF" w:themeFill="background1"/>
            <w:vAlign w:val="center"/>
          </w:tcPr>
          <w:p w14:paraId="32090DDB" w14:textId="77777777" w:rsidR="00351D39" w:rsidRPr="00186F3F" w:rsidRDefault="00351D39" w:rsidP="006A35CD">
            <w:pPr>
              <w:jc w:val="center"/>
              <w:rPr>
                <w:rFonts w:asciiTheme="minorHAnsi" w:hAnsiTheme="minorHAnsi" w:cstheme="minorHAnsi"/>
                <w:sz w:val="18"/>
              </w:rPr>
            </w:pPr>
          </w:p>
        </w:tc>
        <w:tc>
          <w:tcPr>
            <w:tcW w:w="225" w:type="pct"/>
            <w:tcBorders>
              <w:top w:val="single" w:sz="4" w:space="0" w:color="404040" w:themeColor="text1" w:themeTint="BF"/>
            </w:tcBorders>
            <w:shd w:val="clear" w:color="auto" w:fill="FFFFFF" w:themeFill="background1"/>
            <w:vAlign w:val="center"/>
          </w:tcPr>
          <w:p w14:paraId="20655ACF" w14:textId="77777777" w:rsidR="00351D39" w:rsidRPr="00186F3F" w:rsidRDefault="00340AA1" w:rsidP="006A35CD">
            <w:pPr>
              <w:jc w:val="center"/>
              <w:rPr>
                <w:rFonts w:asciiTheme="minorHAnsi" w:hAnsiTheme="minorHAnsi" w:cstheme="minorHAnsi"/>
                <w:sz w:val="18"/>
              </w:rPr>
            </w:pPr>
            <w:r w:rsidRPr="00186F3F">
              <w:rPr>
                <w:rFonts w:asciiTheme="minorHAnsi" w:hAnsiTheme="minorHAnsi" w:cstheme="minorHAnsi"/>
                <w:sz w:val="18"/>
              </w:rPr>
              <w:t>X</w:t>
            </w:r>
          </w:p>
        </w:tc>
        <w:tc>
          <w:tcPr>
            <w:tcW w:w="222" w:type="pct"/>
            <w:tcBorders>
              <w:top w:val="single" w:sz="4" w:space="0" w:color="404040" w:themeColor="text1" w:themeTint="BF"/>
            </w:tcBorders>
            <w:shd w:val="clear" w:color="auto" w:fill="FFFFFF" w:themeFill="background1"/>
            <w:vAlign w:val="center"/>
          </w:tcPr>
          <w:p w14:paraId="6B597F47" w14:textId="77777777" w:rsidR="00351D39" w:rsidRPr="00186F3F" w:rsidRDefault="00351D39" w:rsidP="006A35CD">
            <w:pPr>
              <w:jc w:val="center"/>
              <w:rPr>
                <w:rFonts w:asciiTheme="minorHAnsi" w:hAnsiTheme="minorHAnsi" w:cstheme="minorHAnsi"/>
                <w:sz w:val="18"/>
              </w:rPr>
            </w:pPr>
          </w:p>
        </w:tc>
      </w:tr>
      <w:tr w:rsidR="00351D39" w:rsidRPr="00186F3F" w14:paraId="2136F2A4" w14:textId="77777777" w:rsidTr="006A35CD">
        <w:tc>
          <w:tcPr>
            <w:tcW w:w="5000" w:type="pct"/>
            <w:gridSpan w:val="6"/>
            <w:shd w:val="clear" w:color="auto" w:fill="FFFFFF" w:themeFill="background1"/>
          </w:tcPr>
          <w:p w14:paraId="1081C7B7" w14:textId="77777777" w:rsidR="00351D39" w:rsidRPr="00186F3F" w:rsidRDefault="00351D39" w:rsidP="006A35CD">
            <w:pPr>
              <w:jc w:val="left"/>
              <w:rPr>
                <w:rFonts w:asciiTheme="minorHAnsi" w:hAnsiTheme="minorHAnsi" w:cstheme="minorHAnsi"/>
                <w:sz w:val="18"/>
              </w:rPr>
            </w:pPr>
            <w:r w:rsidRPr="00186F3F">
              <w:rPr>
                <w:rFonts w:asciiTheme="minorHAnsi" w:hAnsiTheme="minorHAnsi" w:cstheme="minorHAnsi"/>
                <w:sz w:val="18"/>
              </w:rPr>
              <w:t>Sugerencias de mejora*:</w:t>
            </w:r>
          </w:p>
          <w:p w14:paraId="5DD7809C" w14:textId="77777777" w:rsidR="00340AA1" w:rsidRPr="00186F3F" w:rsidRDefault="00340AA1" w:rsidP="006E5E44">
            <w:pPr>
              <w:pStyle w:val="Prrafodelista"/>
              <w:numPr>
                <w:ilvl w:val="0"/>
                <w:numId w:val="70"/>
              </w:numPr>
              <w:spacing w:after="0" w:line="240" w:lineRule="auto"/>
              <w:rPr>
                <w:rFonts w:asciiTheme="minorHAnsi" w:hAnsiTheme="minorHAnsi" w:cstheme="minorHAnsi"/>
                <w:sz w:val="18"/>
              </w:rPr>
            </w:pPr>
            <w:r w:rsidRPr="00186F3F">
              <w:rPr>
                <w:rFonts w:asciiTheme="minorHAnsi" w:hAnsiTheme="minorHAnsi" w:cstheme="minorHAnsi"/>
                <w:sz w:val="18"/>
              </w:rPr>
              <w:t>Incorporar, en la MIR del Pp, al menos un indicador de resultado (nivel Propósito o Componente) que mida la reducción de brechas entre mujeres y hombres (por ejemplo, porcentaje de mujeres en la matrícula total, porcentaje de mujeres tituladas o porcentaje de mujeres en programas históricamente masculinizados).</w:t>
            </w:r>
          </w:p>
          <w:p w14:paraId="2F6DC54D" w14:textId="77777777" w:rsidR="00340AA1" w:rsidRPr="00186F3F" w:rsidRDefault="00340AA1" w:rsidP="006E5E44">
            <w:pPr>
              <w:pStyle w:val="Prrafodelista"/>
              <w:numPr>
                <w:ilvl w:val="0"/>
                <w:numId w:val="70"/>
              </w:numPr>
              <w:spacing w:after="0" w:line="240" w:lineRule="auto"/>
              <w:rPr>
                <w:rFonts w:asciiTheme="minorHAnsi" w:hAnsiTheme="minorHAnsi" w:cstheme="minorHAnsi"/>
                <w:sz w:val="18"/>
              </w:rPr>
            </w:pPr>
            <w:r w:rsidRPr="00186F3F">
              <w:rPr>
                <w:rFonts w:asciiTheme="minorHAnsi" w:hAnsiTheme="minorHAnsi" w:cstheme="minorHAnsi"/>
                <w:sz w:val="18"/>
              </w:rPr>
              <w:t>Definir línea base, metas anuales y fuente de verificación explícita para estos indicadores dentro de la MIR, asegurando su alineación con la Cédula de Equidad del POA y con los informes de actividades sustantivas.</w:t>
            </w:r>
          </w:p>
        </w:tc>
      </w:tr>
      <w:tr w:rsidR="00351D39" w:rsidRPr="00186F3F" w14:paraId="4037DBB3" w14:textId="77777777" w:rsidTr="006A35CD">
        <w:tc>
          <w:tcPr>
            <w:tcW w:w="3805" w:type="pct"/>
          </w:tcPr>
          <w:p w14:paraId="540744FC" w14:textId="77777777" w:rsidR="00351D39" w:rsidRPr="00186F3F" w:rsidRDefault="00351D39" w:rsidP="006E5E44">
            <w:pPr>
              <w:pStyle w:val="Prrafodelista"/>
              <w:numPr>
                <w:ilvl w:val="0"/>
                <w:numId w:val="49"/>
              </w:numPr>
              <w:spacing w:after="0" w:line="240" w:lineRule="auto"/>
              <w:ind w:left="596"/>
              <w:rPr>
                <w:rFonts w:asciiTheme="minorHAnsi" w:hAnsiTheme="minorHAnsi" w:cstheme="minorHAnsi"/>
                <w:sz w:val="18"/>
              </w:rPr>
            </w:pPr>
            <w:r w:rsidRPr="00186F3F">
              <w:rPr>
                <w:rFonts w:asciiTheme="minorHAnsi" w:hAnsiTheme="minorHAnsi" w:cstheme="minorHAnsi"/>
                <w:sz w:val="18"/>
              </w:rPr>
              <w:t xml:space="preserve">¿Los indicadores de seguimiento se reportan con información desagregada por sexo? </w:t>
            </w:r>
          </w:p>
        </w:tc>
        <w:tc>
          <w:tcPr>
            <w:tcW w:w="299" w:type="pct"/>
          </w:tcPr>
          <w:p w14:paraId="35EE555C" w14:textId="77777777" w:rsidR="00351D39" w:rsidRPr="00186F3F" w:rsidRDefault="00351D39" w:rsidP="006A35CD">
            <w:pPr>
              <w:ind w:left="349"/>
              <w:rPr>
                <w:rFonts w:asciiTheme="minorHAnsi" w:hAnsiTheme="minorHAnsi" w:cstheme="minorHAnsi"/>
                <w:sz w:val="18"/>
              </w:rPr>
            </w:pPr>
          </w:p>
        </w:tc>
        <w:tc>
          <w:tcPr>
            <w:tcW w:w="299" w:type="pct"/>
          </w:tcPr>
          <w:p w14:paraId="134D6DC9" w14:textId="77777777" w:rsidR="00351D39" w:rsidRPr="00186F3F" w:rsidRDefault="00351D39" w:rsidP="006A35CD">
            <w:pPr>
              <w:jc w:val="center"/>
              <w:rPr>
                <w:rFonts w:asciiTheme="minorHAnsi" w:hAnsiTheme="minorHAnsi" w:cstheme="minorHAnsi"/>
                <w:sz w:val="18"/>
              </w:rPr>
            </w:pPr>
          </w:p>
        </w:tc>
        <w:tc>
          <w:tcPr>
            <w:tcW w:w="150" w:type="pct"/>
            <w:shd w:val="clear" w:color="auto" w:fill="FFFFFF" w:themeFill="background1"/>
            <w:vAlign w:val="center"/>
          </w:tcPr>
          <w:p w14:paraId="1C7976D0" w14:textId="77777777" w:rsidR="00351D39" w:rsidRPr="00186F3F" w:rsidRDefault="00351D39" w:rsidP="006A35CD">
            <w:pPr>
              <w:jc w:val="center"/>
              <w:rPr>
                <w:rFonts w:asciiTheme="minorHAnsi" w:hAnsiTheme="minorHAnsi" w:cstheme="minorHAnsi"/>
                <w:sz w:val="18"/>
              </w:rPr>
            </w:pPr>
          </w:p>
        </w:tc>
        <w:tc>
          <w:tcPr>
            <w:tcW w:w="225" w:type="pct"/>
            <w:shd w:val="clear" w:color="auto" w:fill="FFFFFF" w:themeFill="background1"/>
            <w:vAlign w:val="center"/>
          </w:tcPr>
          <w:p w14:paraId="7ACFC547" w14:textId="77777777" w:rsidR="00351D39" w:rsidRPr="00186F3F" w:rsidRDefault="003759CB" w:rsidP="006A35CD">
            <w:pPr>
              <w:jc w:val="center"/>
              <w:rPr>
                <w:rFonts w:asciiTheme="minorHAnsi" w:hAnsiTheme="minorHAnsi" w:cstheme="minorHAnsi"/>
                <w:sz w:val="18"/>
              </w:rPr>
            </w:pPr>
            <w:r w:rsidRPr="00186F3F">
              <w:rPr>
                <w:rFonts w:asciiTheme="minorHAnsi" w:hAnsiTheme="minorHAnsi" w:cstheme="minorHAnsi"/>
                <w:sz w:val="18"/>
              </w:rPr>
              <w:t>X</w:t>
            </w:r>
          </w:p>
        </w:tc>
        <w:tc>
          <w:tcPr>
            <w:tcW w:w="222" w:type="pct"/>
            <w:shd w:val="clear" w:color="auto" w:fill="FFFFFF" w:themeFill="background1"/>
            <w:vAlign w:val="center"/>
          </w:tcPr>
          <w:p w14:paraId="0FD02C15" w14:textId="77777777" w:rsidR="00351D39" w:rsidRPr="00186F3F" w:rsidRDefault="00351D39" w:rsidP="006A35CD">
            <w:pPr>
              <w:jc w:val="center"/>
              <w:rPr>
                <w:rFonts w:asciiTheme="minorHAnsi" w:hAnsiTheme="minorHAnsi" w:cstheme="minorHAnsi"/>
                <w:sz w:val="18"/>
              </w:rPr>
            </w:pPr>
          </w:p>
        </w:tc>
      </w:tr>
      <w:tr w:rsidR="00351D39" w:rsidRPr="00186F3F" w14:paraId="04D12F37" w14:textId="77777777" w:rsidTr="006A35CD">
        <w:tc>
          <w:tcPr>
            <w:tcW w:w="5000" w:type="pct"/>
            <w:gridSpan w:val="6"/>
            <w:shd w:val="clear" w:color="auto" w:fill="FFFFFF" w:themeFill="background1"/>
          </w:tcPr>
          <w:p w14:paraId="39F4331A" w14:textId="77777777" w:rsidR="00351D39" w:rsidRPr="00186F3F" w:rsidRDefault="00351D39" w:rsidP="003759CB">
            <w:pPr>
              <w:tabs>
                <w:tab w:val="left" w:pos="2655"/>
              </w:tabs>
              <w:rPr>
                <w:rFonts w:asciiTheme="minorHAnsi" w:hAnsiTheme="minorHAnsi" w:cstheme="minorHAnsi"/>
                <w:sz w:val="18"/>
              </w:rPr>
            </w:pPr>
            <w:r w:rsidRPr="00186F3F">
              <w:rPr>
                <w:rFonts w:asciiTheme="minorHAnsi" w:hAnsiTheme="minorHAnsi" w:cstheme="minorHAnsi"/>
                <w:sz w:val="18"/>
              </w:rPr>
              <w:t>Sugerencias de mejora *:</w:t>
            </w:r>
            <w:r w:rsidR="003759CB" w:rsidRPr="00186F3F">
              <w:rPr>
                <w:rFonts w:asciiTheme="minorHAnsi" w:hAnsiTheme="minorHAnsi" w:cstheme="minorHAnsi"/>
                <w:sz w:val="18"/>
              </w:rPr>
              <w:tab/>
            </w:r>
          </w:p>
          <w:p w14:paraId="68593473" w14:textId="77777777" w:rsidR="003759CB" w:rsidRPr="00186F3F" w:rsidRDefault="003759CB" w:rsidP="006E5E44">
            <w:pPr>
              <w:pStyle w:val="Prrafodelista"/>
              <w:numPr>
                <w:ilvl w:val="0"/>
                <w:numId w:val="71"/>
              </w:numPr>
              <w:tabs>
                <w:tab w:val="left" w:pos="2655"/>
              </w:tabs>
              <w:spacing w:after="0" w:line="240" w:lineRule="auto"/>
              <w:rPr>
                <w:rFonts w:asciiTheme="minorHAnsi" w:hAnsiTheme="minorHAnsi" w:cstheme="minorHAnsi"/>
                <w:sz w:val="18"/>
              </w:rPr>
            </w:pPr>
            <w:r w:rsidRPr="00186F3F">
              <w:rPr>
                <w:rFonts w:asciiTheme="minorHAnsi" w:hAnsiTheme="minorHAnsi" w:cstheme="minorHAnsi"/>
                <w:sz w:val="18"/>
              </w:rPr>
              <w:t>Establecer como criterio institucional que todos los indicadores clave del Pp (cobertura, eficiencia terminal, egreso, titulación, becas, abandono, retención y satisfacción) se reporten de manera sistemática desagregados por sexo.</w:t>
            </w:r>
          </w:p>
          <w:p w14:paraId="413E0EF9" w14:textId="77777777" w:rsidR="003759CB" w:rsidRPr="00186F3F" w:rsidRDefault="003759CB" w:rsidP="006E5E44">
            <w:pPr>
              <w:pStyle w:val="Prrafodelista"/>
              <w:numPr>
                <w:ilvl w:val="0"/>
                <w:numId w:val="71"/>
              </w:numPr>
              <w:tabs>
                <w:tab w:val="left" w:pos="2655"/>
              </w:tabs>
              <w:spacing w:after="0"/>
              <w:rPr>
                <w:rFonts w:asciiTheme="minorHAnsi" w:hAnsiTheme="minorHAnsi" w:cstheme="minorHAnsi"/>
                <w:sz w:val="18"/>
              </w:rPr>
            </w:pPr>
            <w:r w:rsidRPr="00186F3F">
              <w:rPr>
                <w:rFonts w:asciiTheme="minorHAnsi" w:hAnsiTheme="minorHAnsi" w:cstheme="minorHAnsi"/>
                <w:sz w:val="18"/>
              </w:rPr>
              <w:t>Incluir en los formatos de captura del POA, informes trimestrales y reportes académicos un campo obligatorio para desagregar por sexo, al menos para la población estudiantil.</w:t>
            </w:r>
          </w:p>
        </w:tc>
      </w:tr>
      <w:tr w:rsidR="00351D39" w:rsidRPr="00186F3F" w14:paraId="49FBE52D" w14:textId="77777777" w:rsidTr="006A35CD">
        <w:tc>
          <w:tcPr>
            <w:tcW w:w="3805" w:type="pct"/>
          </w:tcPr>
          <w:p w14:paraId="680D12C4" w14:textId="77777777" w:rsidR="00351D39" w:rsidRPr="00186F3F" w:rsidRDefault="00351D39" w:rsidP="006E5E44">
            <w:pPr>
              <w:pStyle w:val="Prrafodelista"/>
              <w:numPr>
                <w:ilvl w:val="0"/>
                <w:numId w:val="49"/>
              </w:numPr>
              <w:spacing w:after="0" w:line="240" w:lineRule="auto"/>
              <w:ind w:left="596"/>
              <w:rPr>
                <w:rFonts w:asciiTheme="minorHAnsi" w:hAnsiTheme="minorHAnsi" w:cstheme="minorHAnsi"/>
                <w:sz w:val="18"/>
              </w:rPr>
            </w:pPr>
            <w:r w:rsidRPr="00186F3F">
              <w:rPr>
                <w:rFonts w:asciiTheme="minorHAnsi" w:hAnsiTheme="minorHAnsi" w:cstheme="minorHAnsi"/>
                <w:sz w:val="18"/>
              </w:rPr>
              <w:t xml:space="preserve">¿El programa cuenta con estimaciones o datos estadísticos desagregados por sexo, que permita caracterizar y cuantificar con PEG a la población atendida? </w:t>
            </w:r>
          </w:p>
        </w:tc>
        <w:tc>
          <w:tcPr>
            <w:tcW w:w="299" w:type="pct"/>
          </w:tcPr>
          <w:p w14:paraId="5895D579" w14:textId="77777777" w:rsidR="00351D39" w:rsidRPr="00186F3F" w:rsidRDefault="00351D39" w:rsidP="006A35CD">
            <w:pPr>
              <w:ind w:left="349"/>
              <w:rPr>
                <w:rFonts w:asciiTheme="minorHAnsi" w:hAnsiTheme="minorHAnsi" w:cstheme="minorHAnsi"/>
                <w:sz w:val="18"/>
              </w:rPr>
            </w:pPr>
          </w:p>
        </w:tc>
        <w:tc>
          <w:tcPr>
            <w:tcW w:w="299" w:type="pct"/>
          </w:tcPr>
          <w:p w14:paraId="072B6EDC" w14:textId="77777777" w:rsidR="00351D39" w:rsidRPr="00186F3F" w:rsidRDefault="00351D39" w:rsidP="006A35CD">
            <w:pPr>
              <w:jc w:val="center"/>
              <w:rPr>
                <w:rFonts w:asciiTheme="minorHAnsi" w:hAnsiTheme="minorHAnsi" w:cstheme="minorHAnsi"/>
                <w:sz w:val="18"/>
              </w:rPr>
            </w:pPr>
          </w:p>
        </w:tc>
        <w:tc>
          <w:tcPr>
            <w:tcW w:w="150" w:type="pct"/>
            <w:shd w:val="clear" w:color="auto" w:fill="FFFFFF" w:themeFill="background1"/>
            <w:vAlign w:val="center"/>
          </w:tcPr>
          <w:p w14:paraId="2848909E" w14:textId="77777777" w:rsidR="00351D39" w:rsidRPr="00186F3F" w:rsidRDefault="00351D39" w:rsidP="006A35CD">
            <w:pPr>
              <w:jc w:val="center"/>
              <w:rPr>
                <w:rFonts w:asciiTheme="minorHAnsi" w:hAnsiTheme="minorHAnsi" w:cstheme="minorHAnsi"/>
                <w:sz w:val="18"/>
              </w:rPr>
            </w:pPr>
          </w:p>
        </w:tc>
        <w:tc>
          <w:tcPr>
            <w:tcW w:w="225" w:type="pct"/>
            <w:shd w:val="clear" w:color="auto" w:fill="FFFFFF" w:themeFill="background1"/>
            <w:vAlign w:val="center"/>
          </w:tcPr>
          <w:p w14:paraId="02E0B4B3" w14:textId="77777777" w:rsidR="00351D39" w:rsidRPr="00186F3F" w:rsidRDefault="00351D39" w:rsidP="006A35CD">
            <w:pPr>
              <w:jc w:val="center"/>
              <w:rPr>
                <w:rFonts w:asciiTheme="minorHAnsi" w:hAnsiTheme="minorHAnsi" w:cstheme="minorHAnsi"/>
                <w:sz w:val="18"/>
              </w:rPr>
            </w:pPr>
          </w:p>
        </w:tc>
        <w:tc>
          <w:tcPr>
            <w:tcW w:w="222" w:type="pct"/>
            <w:shd w:val="clear" w:color="auto" w:fill="FFFFFF" w:themeFill="background1"/>
            <w:vAlign w:val="center"/>
          </w:tcPr>
          <w:p w14:paraId="0180EC75" w14:textId="77777777" w:rsidR="00351D39" w:rsidRPr="00186F3F" w:rsidRDefault="003759CB" w:rsidP="006A35CD">
            <w:pPr>
              <w:jc w:val="center"/>
              <w:rPr>
                <w:rFonts w:asciiTheme="minorHAnsi" w:hAnsiTheme="minorHAnsi" w:cstheme="minorHAnsi"/>
                <w:sz w:val="18"/>
              </w:rPr>
            </w:pPr>
            <w:r w:rsidRPr="00186F3F">
              <w:rPr>
                <w:rFonts w:asciiTheme="minorHAnsi" w:hAnsiTheme="minorHAnsi" w:cstheme="minorHAnsi"/>
                <w:sz w:val="18"/>
              </w:rPr>
              <w:t>X</w:t>
            </w:r>
          </w:p>
        </w:tc>
      </w:tr>
      <w:tr w:rsidR="00351D39" w:rsidRPr="00186F3F" w14:paraId="426BFC38" w14:textId="77777777" w:rsidTr="006A35CD">
        <w:tc>
          <w:tcPr>
            <w:tcW w:w="5000" w:type="pct"/>
            <w:gridSpan w:val="6"/>
            <w:shd w:val="clear" w:color="auto" w:fill="FFFFFF" w:themeFill="background1"/>
          </w:tcPr>
          <w:p w14:paraId="5F93C150" w14:textId="77777777" w:rsidR="00351D39" w:rsidRPr="00186F3F" w:rsidRDefault="00351D39" w:rsidP="006A35CD">
            <w:pPr>
              <w:jc w:val="left"/>
              <w:rPr>
                <w:rFonts w:asciiTheme="minorHAnsi" w:hAnsiTheme="minorHAnsi" w:cstheme="minorHAnsi"/>
                <w:sz w:val="18"/>
              </w:rPr>
            </w:pPr>
            <w:r w:rsidRPr="00186F3F">
              <w:rPr>
                <w:rFonts w:asciiTheme="minorHAnsi" w:hAnsiTheme="minorHAnsi" w:cstheme="minorHAnsi"/>
                <w:sz w:val="18"/>
              </w:rPr>
              <w:t>Sugerencias de mejora *:</w:t>
            </w:r>
          </w:p>
        </w:tc>
      </w:tr>
      <w:tr w:rsidR="00351D39" w:rsidRPr="00186F3F" w14:paraId="1EA7C319" w14:textId="77777777" w:rsidTr="006A35CD">
        <w:tc>
          <w:tcPr>
            <w:tcW w:w="3805" w:type="pct"/>
          </w:tcPr>
          <w:p w14:paraId="43B7C83C" w14:textId="77777777" w:rsidR="00351D39" w:rsidRPr="00186F3F" w:rsidRDefault="00351D39" w:rsidP="006E5E44">
            <w:pPr>
              <w:pStyle w:val="Prrafodelista"/>
              <w:numPr>
                <w:ilvl w:val="0"/>
                <w:numId w:val="49"/>
              </w:numPr>
              <w:spacing w:after="0" w:line="240" w:lineRule="auto"/>
              <w:ind w:left="596"/>
              <w:rPr>
                <w:rFonts w:asciiTheme="minorHAnsi" w:hAnsiTheme="minorHAnsi" w:cstheme="minorHAnsi"/>
                <w:sz w:val="18"/>
              </w:rPr>
            </w:pPr>
            <w:r w:rsidRPr="00186F3F">
              <w:rPr>
                <w:rFonts w:asciiTheme="minorHAnsi" w:hAnsiTheme="minorHAnsi" w:cstheme="minorHAnsi"/>
                <w:sz w:val="18"/>
              </w:rPr>
              <w:t>¿El programa cuenta con mecanismos para medir el grado de satisfacción de la población beneficiaria con PEG?</w:t>
            </w:r>
          </w:p>
        </w:tc>
        <w:tc>
          <w:tcPr>
            <w:tcW w:w="299" w:type="pct"/>
          </w:tcPr>
          <w:p w14:paraId="7C89821B" w14:textId="77777777" w:rsidR="00351D39" w:rsidRPr="00186F3F" w:rsidRDefault="00351D39" w:rsidP="006A35CD">
            <w:pPr>
              <w:ind w:left="349"/>
              <w:rPr>
                <w:rFonts w:asciiTheme="minorHAnsi" w:hAnsiTheme="minorHAnsi" w:cstheme="minorHAnsi"/>
                <w:sz w:val="18"/>
              </w:rPr>
            </w:pPr>
          </w:p>
        </w:tc>
        <w:tc>
          <w:tcPr>
            <w:tcW w:w="299" w:type="pct"/>
          </w:tcPr>
          <w:p w14:paraId="42513D9E" w14:textId="77777777" w:rsidR="00351D39" w:rsidRPr="00186F3F" w:rsidRDefault="00351D39" w:rsidP="006A35CD">
            <w:pPr>
              <w:jc w:val="center"/>
              <w:rPr>
                <w:rFonts w:asciiTheme="minorHAnsi" w:hAnsiTheme="minorHAnsi" w:cstheme="minorHAnsi"/>
                <w:sz w:val="18"/>
              </w:rPr>
            </w:pPr>
          </w:p>
        </w:tc>
        <w:tc>
          <w:tcPr>
            <w:tcW w:w="150" w:type="pct"/>
            <w:shd w:val="clear" w:color="auto" w:fill="FFFFFF" w:themeFill="background1"/>
            <w:vAlign w:val="center"/>
          </w:tcPr>
          <w:p w14:paraId="41B5C152" w14:textId="77777777" w:rsidR="00351D39" w:rsidRPr="00186F3F" w:rsidRDefault="00351D39" w:rsidP="006A35CD">
            <w:pPr>
              <w:jc w:val="center"/>
              <w:rPr>
                <w:rFonts w:asciiTheme="minorHAnsi" w:hAnsiTheme="minorHAnsi" w:cstheme="minorHAnsi"/>
                <w:sz w:val="18"/>
              </w:rPr>
            </w:pPr>
          </w:p>
        </w:tc>
        <w:tc>
          <w:tcPr>
            <w:tcW w:w="225" w:type="pct"/>
            <w:shd w:val="clear" w:color="auto" w:fill="FFFFFF" w:themeFill="background1"/>
            <w:vAlign w:val="center"/>
          </w:tcPr>
          <w:p w14:paraId="74C64858" w14:textId="77777777" w:rsidR="00351D39" w:rsidRPr="00186F3F" w:rsidRDefault="003759CB" w:rsidP="006A35CD">
            <w:pPr>
              <w:jc w:val="center"/>
              <w:rPr>
                <w:rFonts w:asciiTheme="minorHAnsi" w:hAnsiTheme="minorHAnsi" w:cstheme="minorHAnsi"/>
                <w:sz w:val="18"/>
              </w:rPr>
            </w:pPr>
            <w:r w:rsidRPr="00186F3F">
              <w:rPr>
                <w:rFonts w:asciiTheme="minorHAnsi" w:hAnsiTheme="minorHAnsi" w:cstheme="minorHAnsi"/>
                <w:sz w:val="18"/>
              </w:rPr>
              <w:t>X</w:t>
            </w:r>
          </w:p>
        </w:tc>
        <w:tc>
          <w:tcPr>
            <w:tcW w:w="222" w:type="pct"/>
            <w:shd w:val="clear" w:color="auto" w:fill="FFFFFF" w:themeFill="background1"/>
            <w:vAlign w:val="center"/>
          </w:tcPr>
          <w:p w14:paraId="75D244D6" w14:textId="77777777" w:rsidR="00351D39" w:rsidRPr="00186F3F" w:rsidRDefault="00351D39" w:rsidP="006A35CD">
            <w:pPr>
              <w:jc w:val="center"/>
              <w:rPr>
                <w:rFonts w:asciiTheme="minorHAnsi" w:hAnsiTheme="minorHAnsi" w:cstheme="minorHAnsi"/>
                <w:sz w:val="18"/>
              </w:rPr>
            </w:pPr>
          </w:p>
        </w:tc>
      </w:tr>
      <w:tr w:rsidR="00351D39" w:rsidRPr="00186F3F" w14:paraId="7181AB82" w14:textId="77777777" w:rsidTr="006A35CD">
        <w:tc>
          <w:tcPr>
            <w:tcW w:w="5000" w:type="pct"/>
            <w:gridSpan w:val="6"/>
            <w:shd w:val="clear" w:color="auto" w:fill="FFFFFF" w:themeFill="background1"/>
          </w:tcPr>
          <w:p w14:paraId="24F46B94" w14:textId="77777777" w:rsidR="00351D39" w:rsidRPr="00186F3F" w:rsidRDefault="00351D39" w:rsidP="006A35CD">
            <w:pPr>
              <w:jc w:val="left"/>
              <w:rPr>
                <w:rFonts w:asciiTheme="minorHAnsi" w:hAnsiTheme="minorHAnsi" w:cstheme="minorHAnsi"/>
                <w:sz w:val="18"/>
              </w:rPr>
            </w:pPr>
            <w:r w:rsidRPr="00186F3F">
              <w:rPr>
                <w:rFonts w:asciiTheme="minorHAnsi" w:hAnsiTheme="minorHAnsi" w:cstheme="minorHAnsi"/>
                <w:sz w:val="18"/>
              </w:rPr>
              <w:t>Sugerencias de mejora *:</w:t>
            </w:r>
            <w:r w:rsidR="003759CB" w:rsidRPr="00186F3F">
              <w:rPr>
                <w:rFonts w:asciiTheme="minorHAnsi" w:hAnsiTheme="minorHAnsi" w:cstheme="minorHAnsi"/>
                <w:sz w:val="18"/>
              </w:rPr>
              <w:t xml:space="preserve"> </w:t>
            </w:r>
          </w:p>
          <w:p w14:paraId="4FCFC9E8" w14:textId="77777777" w:rsidR="003759CB" w:rsidRPr="00186F3F" w:rsidRDefault="003759CB" w:rsidP="003759CB">
            <w:pPr>
              <w:spacing w:line="240" w:lineRule="auto"/>
              <w:rPr>
                <w:rFonts w:asciiTheme="minorHAnsi" w:hAnsiTheme="minorHAnsi" w:cstheme="minorHAnsi"/>
                <w:sz w:val="18"/>
              </w:rPr>
            </w:pPr>
            <w:r w:rsidRPr="00186F3F">
              <w:rPr>
                <w:rFonts w:asciiTheme="minorHAnsi" w:hAnsiTheme="minorHAnsi" w:cstheme="minorHAnsi"/>
                <w:sz w:val="18"/>
              </w:rPr>
              <w:t>Incorporar en las encuestas de satisfacción de estudiantes y egresados preguntas específicas sobre percepciones de igualdad de trato, ambientes libres de violencia y discriminación por género, y confianza en los mecanismos de atención de quejas.</w:t>
            </w:r>
          </w:p>
        </w:tc>
      </w:tr>
      <w:tr w:rsidR="00351D39" w:rsidRPr="00186F3F" w14:paraId="19114D27" w14:textId="77777777" w:rsidTr="006A35CD">
        <w:tc>
          <w:tcPr>
            <w:tcW w:w="3805" w:type="pct"/>
          </w:tcPr>
          <w:p w14:paraId="169D9F74" w14:textId="77777777" w:rsidR="00351D39" w:rsidRPr="00186F3F" w:rsidRDefault="00351D39" w:rsidP="006E5E44">
            <w:pPr>
              <w:pStyle w:val="Prrafodelista"/>
              <w:numPr>
                <w:ilvl w:val="0"/>
                <w:numId w:val="49"/>
              </w:numPr>
              <w:spacing w:after="0" w:line="240" w:lineRule="auto"/>
              <w:ind w:left="596"/>
              <w:rPr>
                <w:rFonts w:asciiTheme="minorHAnsi" w:hAnsiTheme="minorHAnsi" w:cstheme="minorHAnsi"/>
                <w:sz w:val="18"/>
              </w:rPr>
            </w:pPr>
            <w:r w:rsidRPr="00186F3F">
              <w:rPr>
                <w:rFonts w:asciiTheme="minorHAnsi" w:hAnsiTheme="minorHAnsi" w:cstheme="minorHAnsi"/>
                <w:sz w:val="18"/>
              </w:rPr>
              <w:t xml:space="preserve">¿El programa cuenta con mecanismos para recibir y atender con PEG, quejas o denuncias de las personas beneficiarias?    </w:t>
            </w:r>
          </w:p>
        </w:tc>
        <w:tc>
          <w:tcPr>
            <w:tcW w:w="299" w:type="pct"/>
          </w:tcPr>
          <w:p w14:paraId="37FAD71E" w14:textId="77777777" w:rsidR="00351D39" w:rsidRPr="00186F3F" w:rsidRDefault="00351D39" w:rsidP="006A35CD">
            <w:pPr>
              <w:ind w:left="349"/>
              <w:rPr>
                <w:rFonts w:asciiTheme="minorHAnsi" w:hAnsiTheme="minorHAnsi" w:cstheme="minorHAnsi"/>
                <w:sz w:val="18"/>
              </w:rPr>
            </w:pPr>
          </w:p>
        </w:tc>
        <w:tc>
          <w:tcPr>
            <w:tcW w:w="299" w:type="pct"/>
          </w:tcPr>
          <w:p w14:paraId="2D1B79A9" w14:textId="77777777" w:rsidR="00351D39" w:rsidRPr="00186F3F" w:rsidRDefault="00351D39" w:rsidP="006A35CD">
            <w:pPr>
              <w:jc w:val="center"/>
              <w:rPr>
                <w:rFonts w:asciiTheme="minorHAnsi" w:hAnsiTheme="minorHAnsi" w:cstheme="minorHAnsi"/>
                <w:sz w:val="18"/>
              </w:rPr>
            </w:pPr>
          </w:p>
        </w:tc>
        <w:tc>
          <w:tcPr>
            <w:tcW w:w="150" w:type="pct"/>
            <w:shd w:val="clear" w:color="auto" w:fill="FFFFFF" w:themeFill="background1"/>
            <w:vAlign w:val="center"/>
          </w:tcPr>
          <w:p w14:paraId="1217011E" w14:textId="77777777" w:rsidR="00351D39" w:rsidRPr="00186F3F" w:rsidRDefault="00351D39" w:rsidP="006A35CD">
            <w:pPr>
              <w:jc w:val="center"/>
              <w:rPr>
                <w:rFonts w:asciiTheme="minorHAnsi" w:hAnsiTheme="minorHAnsi" w:cstheme="minorHAnsi"/>
                <w:sz w:val="18"/>
              </w:rPr>
            </w:pPr>
          </w:p>
        </w:tc>
        <w:tc>
          <w:tcPr>
            <w:tcW w:w="225" w:type="pct"/>
            <w:shd w:val="clear" w:color="auto" w:fill="FFFFFF" w:themeFill="background1"/>
            <w:vAlign w:val="center"/>
          </w:tcPr>
          <w:p w14:paraId="1792A2A2" w14:textId="77777777" w:rsidR="00351D39" w:rsidRPr="00186F3F" w:rsidRDefault="00351D39" w:rsidP="006A35CD">
            <w:pPr>
              <w:jc w:val="center"/>
              <w:rPr>
                <w:rFonts w:asciiTheme="minorHAnsi" w:hAnsiTheme="minorHAnsi" w:cstheme="minorHAnsi"/>
                <w:sz w:val="18"/>
              </w:rPr>
            </w:pPr>
          </w:p>
        </w:tc>
        <w:tc>
          <w:tcPr>
            <w:tcW w:w="222" w:type="pct"/>
            <w:shd w:val="clear" w:color="auto" w:fill="FFFFFF" w:themeFill="background1"/>
            <w:vAlign w:val="center"/>
          </w:tcPr>
          <w:p w14:paraId="6F75E64F" w14:textId="77777777" w:rsidR="00351D39" w:rsidRPr="00186F3F" w:rsidRDefault="003759CB" w:rsidP="006A35CD">
            <w:pPr>
              <w:jc w:val="center"/>
              <w:rPr>
                <w:rFonts w:asciiTheme="minorHAnsi" w:hAnsiTheme="minorHAnsi" w:cstheme="minorHAnsi"/>
                <w:sz w:val="18"/>
              </w:rPr>
            </w:pPr>
            <w:r w:rsidRPr="00186F3F">
              <w:rPr>
                <w:rFonts w:asciiTheme="minorHAnsi" w:hAnsiTheme="minorHAnsi" w:cstheme="minorHAnsi"/>
                <w:sz w:val="18"/>
              </w:rPr>
              <w:t>X</w:t>
            </w:r>
          </w:p>
        </w:tc>
      </w:tr>
      <w:tr w:rsidR="00351D39" w:rsidRPr="00186F3F" w14:paraId="1A28F1A6" w14:textId="77777777" w:rsidTr="006A35CD">
        <w:tc>
          <w:tcPr>
            <w:tcW w:w="5000" w:type="pct"/>
            <w:gridSpan w:val="6"/>
            <w:shd w:val="clear" w:color="auto" w:fill="FFFFFF" w:themeFill="background1"/>
          </w:tcPr>
          <w:p w14:paraId="47C98CBC" w14:textId="77777777" w:rsidR="00351D39" w:rsidRPr="00186F3F" w:rsidRDefault="00351D39" w:rsidP="006A35CD">
            <w:pPr>
              <w:jc w:val="left"/>
              <w:rPr>
                <w:rFonts w:asciiTheme="minorHAnsi" w:hAnsiTheme="minorHAnsi" w:cstheme="minorHAnsi"/>
                <w:sz w:val="18"/>
              </w:rPr>
            </w:pPr>
            <w:r w:rsidRPr="00186F3F">
              <w:rPr>
                <w:rFonts w:asciiTheme="minorHAnsi" w:hAnsiTheme="minorHAnsi" w:cstheme="minorHAnsi"/>
                <w:sz w:val="18"/>
              </w:rPr>
              <w:t>Sugerencias de mejora *:</w:t>
            </w:r>
          </w:p>
        </w:tc>
      </w:tr>
      <w:tr w:rsidR="00351D39" w:rsidRPr="00186F3F" w14:paraId="57CD2E24" w14:textId="77777777" w:rsidTr="006A35CD">
        <w:tc>
          <w:tcPr>
            <w:tcW w:w="3805" w:type="pct"/>
          </w:tcPr>
          <w:p w14:paraId="2FCB2F9E" w14:textId="77777777" w:rsidR="00351D39" w:rsidRPr="00186F3F" w:rsidRDefault="00351D39" w:rsidP="006E5E44">
            <w:pPr>
              <w:pStyle w:val="Prrafodelista"/>
              <w:numPr>
                <w:ilvl w:val="0"/>
                <w:numId w:val="49"/>
              </w:numPr>
              <w:spacing w:after="0" w:line="240" w:lineRule="auto"/>
              <w:ind w:left="596"/>
              <w:rPr>
                <w:rFonts w:asciiTheme="minorHAnsi" w:hAnsiTheme="minorHAnsi" w:cstheme="minorHAnsi"/>
                <w:sz w:val="18"/>
              </w:rPr>
            </w:pPr>
            <w:r w:rsidRPr="00186F3F">
              <w:rPr>
                <w:rFonts w:asciiTheme="minorHAnsi" w:hAnsiTheme="minorHAnsi" w:cstheme="minorHAnsi"/>
                <w:sz w:val="18"/>
              </w:rPr>
              <w:t>¿Existe evidencia del efecto del Programa presupuestario en la población beneficiaria y las diferencias entre mujeres y hombres?</w:t>
            </w:r>
          </w:p>
        </w:tc>
        <w:tc>
          <w:tcPr>
            <w:tcW w:w="299" w:type="pct"/>
          </w:tcPr>
          <w:p w14:paraId="20EE90B9" w14:textId="77777777" w:rsidR="00351D39" w:rsidRPr="00186F3F" w:rsidRDefault="00351D39" w:rsidP="006A35CD">
            <w:pPr>
              <w:ind w:left="349"/>
              <w:rPr>
                <w:rFonts w:asciiTheme="minorHAnsi" w:hAnsiTheme="minorHAnsi" w:cstheme="minorHAnsi"/>
                <w:sz w:val="18"/>
              </w:rPr>
            </w:pPr>
          </w:p>
        </w:tc>
        <w:tc>
          <w:tcPr>
            <w:tcW w:w="299" w:type="pct"/>
          </w:tcPr>
          <w:p w14:paraId="7B32D841" w14:textId="77777777" w:rsidR="00351D39" w:rsidRPr="00186F3F" w:rsidRDefault="00351D39" w:rsidP="006A35CD">
            <w:pPr>
              <w:jc w:val="center"/>
              <w:rPr>
                <w:rFonts w:asciiTheme="minorHAnsi" w:hAnsiTheme="minorHAnsi" w:cstheme="minorHAnsi"/>
                <w:sz w:val="18"/>
              </w:rPr>
            </w:pPr>
          </w:p>
        </w:tc>
        <w:tc>
          <w:tcPr>
            <w:tcW w:w="150" w:type="pct"/>
            <w:shd w:val="clear" w:color="auto" w:fill="FFFFFF" w:themeFill="background1"/>
            <w:vAlign w:val="center"/>
          </w:tcPr>
          <w:p w14:paraId="689F27A7" w14:textId="77777777" w:rsidR="00351D39" w:rsidRPr="00186F3F" w:rsidRDefault="003759CB" w:rsidP="006A35CD">
            <w:pPr>
              <w:jc w:val="center"/>
              <w:rPr>
                <w:rFonts w:asciiTheme="minorHAnsi" w:hAnsiTheme="minorHAnsi" w:cstheme="minorHAnsi"/>
                <w:sz w:val="18"/>
              </w:rPr>
            </w:pPr>
            <w:r w:rsidRPr="00186F3F">
              <w:rPr>
                <w:rFonts w:asciiTheme="minorHAnsi" w:hAnsiTheme="minorHAnsi" w:cstheme="minorHAnsi"/>
                <w:sz w:val="18"/>
              </w:rPr>
              <w:t>X</w:t>
            </w:r>
          </w:p>
        </w:tc>
        <w:tc>
          <w:tcPr>
            <w:tcW w:w="225" w:type="pct"/>
            <w:shd w:val="clear" w:color="auto" w:fill="FFFFFF" w:themeFill="background1"/>
            <w:vAlign w:val="center"/>
          </w:tcPr>
          <w:p w14:paraId="3CC11D31" w14:textId="77777777" w:rsidR="00351D39" w:rsidRPr="00186F3F" w:rsidRDefault="00351D39" w:rsidP="006A35CD">
            <w:pPr>
              <w:jc w:val="center"/>
              <w:rPr>
                <w:rFonts w:asciiTheme="minorHAnsi" w:hAnsiTheme="minorHAnsi" w:cstheme="minorHAnsi"/>
                <w:sz w:val="18"/>
              </w:rPr>
            </w:pPr>
          </w:p>
        </w:tc>
        <w:tc>
          <w:tcPr>
            <w:tcW w:w="222" w:type="pct"/>
            <w:shd w:val="clear" w:color="auto" w:fill="FFFFFF" w:themeFill="background1"/>
            <w:vAlign w:val="center"/>
          </w:tcPr>
          <w:p w14:paraId="5789AD60" w14:textId="77777777" w:rsidR="00351D39" w:rsidRPr="00186F3F" w:rsidRDefault="00351D39" w:rsidP="006A35CD">
            <w:pPr>
              <w:jc w:val="center"/>
              <w:rPr>
                <w:rFonts w:asciiTheme="minorHAnsi" w:hAnsiTheme="minorHAnsi" w:cstheme="minorHAnsi"/>
                <w:sz w:val="18"/>
              </w:rPr>
            </w:pPr>
          </w:p>
        </w:tc>
      </w:tr>
      <w:tr w:rsidR="00351D39" w:rsidRPr="00186F3F" w14:paraId="7DB4CC43" w14:textId="77777777" w:rsidTr="006A35CD">
        <w:tc>
          <w:tcPr>
            <w:tcW w:w="5000" w:type="pct"/>
            <w:gridSpan w:val="6"/>
            <w:shd w:val="clear" w:color="auto" w:fill="FFFFFF" w:themeFill="background1"/>
          </w:tcPr>
          <w:p w14:paraId="756FF4FD" w14:textId="77777777" w:rsidR="00351D39" w:rsidRPr="00186F3F" w:rsidRDefault="00351D39" w:rsidP="006A35CD">
            <w:pPr>
              <w:rPr>
                <w:rFonts w:asciiTheme="minorHAnsi" w:hAnsiTheme="minorHAnsi" w:cstheme="minorHAnsi"/>
                <w:sz w:val="18"/>
              </w:rPr>
            </w:pPr>
            <w:r w:rsidRPr="00186F3F">
              <w:rPr>
                <w:rFonts w:asciiTheme="minorHAnsi" w:hAnsiTheme="minorHAnsi" w:cstheme="minorHAnsi"/>
                <w:sz w:val="18"/>
              </w:rPr>
              <w:t>Sugerencias de mejora *:</w:t>
            </w:r>
          </w:p>
          <w:p w14:paraId="63168CE9" w14:textId="77777777" w:rsidR="003759CB" w:rsidRPr="00186F3F" w:rsidRDefault="003759CB" w:rsidP="006E5E44">
            <w:pPr>
              <w:pStyle w:val="Prrafodelista"/>
              <w:numPr>
                <w:ilvl w:val="0"/>
                <w:numId w:val="72"/>
              </w:numPr>
              <w:spacing w:after="0" w:line="240" w:lineRule="auto"/>
              <w:rPr>
                <w:rFonts w:asciiTheme="minorHAnsi" w:hAnsiTheme="minorHAnsi" w:cstheme="minorHAnsi"/>
                <w:sz w:val="18"/>
              </w:rPr>
            </w:pPr>
            <w:r w:rsidRPr="00186F3F">
              <w:rPr>
                <w:rFonts w:asciiTheme="minorHAnsi" w:hAnsiTheme="minorHAnsi" w:cstheme="minorHAnsi"/>
                <w:sz w:val="18"/>
              </w:rPr>
              <w:t>Incorporar en la MIR al menos un indicador de resultado que mida la reducción de brechas entre mujeres y hombres en términos de permanencia, titulación y colocación laboral.</w:t>
            </w:r>
          </w:p>
          <w:p w14:paraId="7328C259" w14:textId="77777777" w:rsidR="003759CB" w:rsidRPr="00186F3F" w:rsidRDefault="003759CB" w:rsidP="006E5E44">
            <w:pPr>
              <w:pStyle w:val="Prrafodelista"/>
              <w:numPr>
                <w:ilvl w:val="0"/>
                <w:numId w:val="72"/>
              </w:numPr>
              <w:spacing w:after="0" w:line="240" w:lineRule="auto"/>
              <w:rPr>
                <w:rFonts w:asciiTheme="minorHAnsi" w:hAnsiTheme="minorHAnsi" w:cstheme="minorHAnsi"/>
                <w:sz w:val="18"/>
              </w:rPr>
            </w:pPr>
            <w:r w:rsidRPr="00186F3F">
              <w:rPr>
                <w:rFonts w:asciiTheme="minorHAnsi" w:hAnsiTheme="minorHAnsi" w:cstheme="minorHAnsi"/>
                <w:sz w:val="18"/>
              </w:rPr>
              <w:t>Realizar análisis comparativos periódicos entre mujeres y hombres en los informes de seguimiento de egresados y en las encuestas de satisfacción, de modo que se pueda evaluar si las acciones del Pp contribuyen a cerrar brechas.</w:t>
            </w:r>
          </w:p>
        </w:tc>
      </w:tr>
      <w:tr w:rsidR="00351D39" w:rsidRPr="00186F3F" w14:paraId="21F83C23" w14:textId="77777777" w:rsidTr="006A35CD">
        <w:tc>
          <w:tcPr>
            <w:tcW w:w="3805" w:type="pct"/>
          </w:tcPr>
          <w:p w14:paraId="1C0D10F7" w14:textId="77777777" w:rsidR="00351D39" w:rsidRPr="00186F3F" w:rsidRDefault="00351D39" w:rsidP="006E5E44">
            <w:pPr>
              <w:pStyle w:val="Prrafodelista"/>
              <w:numPr>
                <w:ilvl w:val="0"/>
                <w:numId w:val="49"/>
              </w:numPr>
              <w:spacing w:after="0" w:line="240" w:lineRule="auto"/>
              <w:ind w:left="596"/>
              <w:rPr>
                <w:rFonts w:asciiTheme="minorHAnsi" w:hAnsiTheme="minorHAnsi" w:cstheme="minorHAnsi"/>
                <w:sz w:val="18"/>
              </w:rPr>
            </w:pPr>
            <w:r w:rsidRPr="00186F3F">
              <w:rPr>
                <w:rFonts w:asciiTheme="minorHAnsi" w:hAnsiTheme="minorHAnsi" w:cstheme="minorHAnsi"/>
                <w:sz w:val="18"/>
              </w:rPr>
              <w:t>De acuerdo con el Anexo 43: Presupuesto para Mujeres y la Igualdad de Género, ¿Logra identificar el Presupuesto asignado al Pp a evaluar?</w:t>
            </w:r>
          </w:p>
        </w:tc>
        <w:tc>
          <w:tcPr>
            <w:tcW w:w="299" w:type="pct"/>
          </w:tcPr>
          <w:p w14:paraId="3C50997D" w14:textId="77777777" w:rsidR="00351D39" w:rsidRPr="00186F3F" w:rsidRDefault="00351D39" w:rsidP="006A35CD">
            <w:pPr>
              <w:ind w:left="349"/>
              <w:rPr>
                <w:rFonts w:asciiTheme="minorHAnsi" w:hAnsiTheme="minorHAnsi" w:cstheme="minorHAnsi"/>
                <w:sz w:val="18"/>
              </w:rPr>
            </w:pPr>
          </w:p>
        </w:tc>
        <w:tc>
          <w:tcPr>
            <w:tcW w:w="299" w:type="pct"/>
          </w:tcPr>
          <w:p w14:paraId="7B1D2E5E" w14:textId="77777777" w:rsidR="00351D39" w:rsidRPr="00186F3F" w:rsidRDefault="00351D39" w:rsidP="006A35CD">
            <w:pPr>
              <w:jc w:val="center"/>
              <w:rPr>
                <w:rFonts w:asciiTheme="minorHAnsi" w:hAnsiTheme="minorHAnsi" w:cstheme="minorHAnsi"/>
                <w:sz w:val="18"/>
              </w:rPr>
            </w:pPr>
          </w:p>
        </w:tc>
        <w:tc>
          <w:tcPr>
            <w:tcW w:w="150" w:type="pct"/>
            <w:shd w:val="clear" w:color="auto" w:fill="FFFFFF" w:themeFill="background1"/>
            <w:vAlign w:val="center"/>
          </w:tcPr>
          <w:p w14:paraId="2988C3D0" w14:textId="77777777" w:rsidR="00351D39" w:rsidRPr="00186F3F" w:rsidRDefault="00351D39" w:rsidP="006A35CD">
            <w:pPr>
              <w:jc w:val="center"/>
              <w:rPr>
                <w:rFonts w:asciiTheme="minorHAnsi" w:hAnsiTheme="minorHAnsi" w:cstheme="minorHAnsi"/>
                <w:sz w:val="18"/>
              </w:rPr>
            </w:pPr>
          </w:p>
        </w:tc>
        <w:tc>
          <w:tcPr>
            <w:tcW w:w="225" w:type="pct"/>
            <w:shd w:val="clear" w:color="auto" w:fill="FFFFFF" w:themeFill="background1"/>
            <w:vAlign w:val="center"/>
          </w:tcPr>
          <w:p w14:paraId="7ECCB92F" w14:textId="77777777" w:rsidR="00351D39" w:rsidRPr="00186F3F" w:rsidRDefault="00E82AA1" w:rsidP="006A35CD">
            <w:pPr>
              <w:jc w:val="center"/>
              <w:rPr>
                <w:rFonts w:asciiTheme="minorHAnsi" w:hAnsiTheme="minorHAnsi" w:cstheme="minorHAnsi"/>
                <w:sz w:val="18"/>
              </w:rPr>
            </w:pPr>
            <w:r w:rsidRPr="00186F3F">
              <w:rPr>
                <w:rFonts w:asciiTheme="minorHAnsi" w:hAnsiTheme="minorHAnsi" w:cstheme="minorHAnsi"/>
                <w:sz w:val="18"/>
              </w:rPr>
              <w:t>X</w:t>
            </w:r>
          </w:p>
        </w:tc>
        <w:tc>
          <w:tcPr>
            <w:tcW w:w="222" w:type="pct"/>
            <w:shd w:val="clear" w:color="auto" w:fill="FFFFFF" w:themeFill="background1"/>
            <w:vAlign w:val="center"/>
          </w:tcPr>
          <w:p w14:paraId="0EE929E0" w14:textId="77777777" w:rsidR="00351D39" w:rsidRPr="00186F3F" w:rsidRDefault="00351D39" w:rsidP="006A35CD">
            <w:pPr>
              <w:jc w:val="center"/>
              <w:rPr>
                <w:rFonts w:asciiTheme="minorHAnsi" w:hAnsiTheme="minorHAnsi" w:cstheme="minorHAnsi"/>
                <w:sz w:val="18"/>
              </w:rPr>
            </w:pPr>
          </w:p>
        </w:tc>
      </w:tr>
      <w:tr w:rsidR="00351D39" w:rsidRPr="00186F3F" w14:paraId="1E5275B6" w14:textId="77777777" w:rsidTr="006A35CD">
        <w:tc>
          <w:tcPr>
            <w:tcW w:w="5000" w:type="pct"/>
            <w:gridSpan w:val="6"/>
          </w:tcPr>
          <w:p w14:paraId="4B27C250" w14:textId="77777777" w:rsidR="00351D39" w:rsidRPr="00186F3F" w:rsidRDefault="00351D39" w:rsidP="006A35CD">
            <w:pPr>
              <w:jc w:val="left"/>
              <w:rPr>
                <w:rFonts w:asciiTheme="minorHAnsi" w:hAnsiTheme="minorHAnsi" w:cstheme="minorHAnsi"/>
                <w:sz w:val="18"/>
              </w:rPr>
            </w:pPr>
            <w:r w:rsidRPr="00186F3F">
              <w:rPr>
                <w:rFonts w:asciiTheme="minorHAnsi" w:hAnsiTheme="minorHAnsi" w:cstheme="minorHAnsi"/>
                <w:sz w:val="18"/>
              </w:rPr>
              <w:t>Sugerencias de mejora *:</w:t>
            </w:r>
          </w:p>
          <w:p w14:paraId="4F56485C" w14:textId="77777777" w:rsidR="009A6351" w:rsidRPr="00186F3F" w:rsidRDefault="009A6351" w:rsidP="006E5E44">
            <w:pPr>
              <w:pStyle w:val="Prrafodelista"/>
              <w:numPr>
                <w:ilvl w:val="0"/>
                <w:numId w:val="73"/>
              </w:numPr>
              <w:spacing w:after="0" w:line="240" w:lineRule="auto"/>
              <w:rPr>
                <w:rFonts w:asciiTheme="minorHAnsi" w:hAnsiTheme="minorHAnsi" w:cstheme="minorHAnsi"/>
                <w:sz w:val="18"/>
              </w:rPr>
            </w:pPr>
            <w:r w:rsidRPr="00186F3F">
              <w:rPr>
                <w:rFonts w:asciiTheme="minorHAnsi" w:hAnsiTheme="minorHAnsi" w:cstheme="minorHAnsi"/>
                <w:sz w:val="18"/>
              </w:rPr>
              <w:t>Vincular formalmente las becas internas para mujeres (exoneración de colegiatura) con el Anexo 43, documentando el criterio de elegibilidad, el número de beneficiarias y el monto anual asociado, de manera que pueda identificarse como gasto destinado a igualdad de género.</w:t>
            </w:r>
          </w:p>
          <w:p w14:paraId="3C22CE55" w14:textId="77777777" w:rsidR="009A6351" w:rsidRPr="00186F3F" w:rsidRDefault="009A6351" w:rsidP="006E5E44">
            <w:pPr>
              <w:pStyle w:val="Prrafodelista"/>
              <w:numPr>
                <w:ilvl w:val="0"/>
                <w:numId w:val="73"/>
              </w:numPr>
              <w:spacing w:after="0" w:line="240" w:lineRule="auto"/>
              <w:rPr>
                <w:rFonts w:asciiTheme="minorHAnsi" w:hAnsiTheme="minorHAnsi" w:cstheme="minorHAnsi"/>
                <w:sz w:val="18"/>
              </w:rPr>
            </w:pPr>
            <w:r w:rsidRPr="00186F3F">
              <w:rPr>
                <w:rFonts w:asciiTheme="minorHAnsi" w:hAnsiTheme="minorHAnsi" w:cstheme="minorHAnsi"/>
                <w:sz w:val="18"/>
              </w:rPr>
              <w:t>Incorporar la información de estas becas y acciones en los informes anuales y en la MIR (en la parte de medios de verificación), de modo que se evidencie de manera sistemática cómo el Pp contribuye, con recursos específicos, a reducir brechas de acceso y permanencia entre mujeres y hombres en la educación superior.</w:t>
            </w:r>
          </w:p>
        </w:tc>
      </w:tr>
    </w:tbl>
    <w:p w14:paraId="5C7A90FF" w14:textId="77777777" w:rsidR="00351D39" w:rsidRPr="00186F3F" w:rsidRDefault="00351D39" w:rsidP="00351D39">
      <w:pPr>
        <w:spacing w:line="276" w:lineRule="auto"/>
        <w:jc w:val="left"/>
        <w:rPr>
          <w:rFonts w:asciiTheme="minorHAnsi" w:hAnsiTheme="minorHAnsi" w:cstheme="minorHAnsi"/>
          <w:sz w:val="18"/>
        </w:rPr>
      </w:pPr>
      <w:r w:rsidRPr="00186F3F">
        <w:rPr>
          <w:rFonts w:asciiTheme="minorHAnsi" w:hAnsiTheme="minorHAnsi" w:cstheme="minorHAnsi"/>
          <w:sz w:val="12"/>
        </w:rPr>
        <w:t>*Responder en caso de aplicar.</w:t>
      </w:r>
    </w:p>
    <w:p w14:paraId="65196438" w14:textId="77777777" w:rsidR="00351D39" w:rsidRPr="002150BE" w:rsidRDefault="00351D39">
      <w:pPr>
        <w:spacing w:line="276" w:lineRule="auto"/>
        <w:jc w:val="left"/>
        <w:rPr>
          <w:rFonts w:asciiTheme="minorHAnsi" w:hAnsiTheme="minorHAnsi" w:cstheme="minorHAnsi"/>
        </w:rPr>
      </w:pPr>
      <w:r w:rsidRPr="002150BE">
        <w:rPr>
          <w:rFonts w:asciiTheme="minorHAnsi" w:hAnsiTheme="minorHAnsi" w:cstheme="minorHAnsi"/>
        </w:rPr>
        <w:br w:type="page"/>
      </w:r>
    </w:p>
    <w:tbl>
      <w:tblPr>
        <w:tblW w:w="0" w:type="auto"/>
        <w:tblCellMar>
          <w:left w:w="70" w:type="dxa"/>
          <w:right w:w="70" w:type="dxa"/>
        </w:tblCellMar>
        <w:tblLook w:val="0480" w:firstRow="0" w:lastRow="0" w:firstColumn="1" w:lastColumn="0" w:noHBand="0" w:noVBand="1"/>
      </w:tblPr>
      <w:tblGrid>
        <w:gridCol w:w="1405"/>
        <w:gridCol w:w="1860"/>
        <w:gridCol w:w="146"/>
        <w:gridCol w:w="146"/>
        <w:gridCol w:w="146"/>
        <w:gridCol w:w="146"/>
        <w:gridCol w:w="2269"/>
        <w:gridCol w:w="2117"/>
        <w:gridCol w:w="146"/>
        <w:gridCol w:w="146"/>
        <w:gridCol w:w="146"/>
        <w:gridCol w:w="182"/>
      </w:tblGrid>
      <w:tr w:rsidR="007C6D37" w:rsidRPr="002150BE" w14:paraId="59C20D32" w14:textId="77777777" w:rsidTr="00B50525">
        <w:trPr>
          <w:trHeight w:val="397"/>
        </w:trPr>
        <w:tc>
          <w:tcPr>
            <w:tcW w:w="0" w:type="auto"/>
            <w:gridSpan w:val="1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04040" w:themeFill="text1" w:themeFillTint="BF"/>
            <w:vAlign w:val="center"/>
            <w:hideMark/>
          </w:tcPr>
          <w:p w14:paraId="1A26B387" w14:textId="77777777" w:rsidR="007C6D37" w:rsidRPr="002150BE" w:rsidRDefault="007C6D37" w:rsidP="007C6D37">
            <w:pPr>
              <w:spacing w:after="0" w:line="240" w:lineRule="auto"/>
              <w:jc w:val="center"/>
              <w:rPr>
                <w:rFonts w:asciiTheme="minorHAnsi" w:hAnsiTheme="minorHAnsi" w:cstheme="minorHAnsi"/>
                <w:b/>
                <w:color w:val="FFFFFF" w:themeColor="background1"/>
                <w:sz w:val="18"/>
                <w:lang w:eastAsia="es-MX"/>
              </w:rPr>
            </w:pPr>
            <w:bookmarkStart w:id="67" w:name="RANGE!A1:R32"/>
            <w:r w:rsidRPr="002150BE">
              <w:rPr>
                <w:rFonts w:asciiTheme="minorHAnsi" w:hAnsiTheme="minorHAnsi" w:cstheme="minorHAnsi"/>
                <w:b/>
                <w:color w:val="FFFFFF" w:themeColor="background1"/>
                <w:lang w:eastAsia="es-MX"/>
              </w:rPr>
              <w:lastRenderedPageBreak/>
              <w:t>Anexo 5. Mecanismo de solicitud</w:t>
            </w:r>
            <w:bookmarkEnd w:id="67"/>
          </w:p>
        </w:tc>
      </w:tr>
      <w:tr w:rsidR="007C6D37" w:rsidRPr="002150BE" w14:paraId="7EF6430A" w14:textId="77777777" w:rsidTr="00B50525">
        <w:trPr>
          <w:trHeight w:val="375"/>
        </w:trPr>
        <w:tc>
          <w:tcPr>
            <w:tcW w:w="0" w:type="auto"/>
            <w:gridSpan w:val="1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F7F7F" w:themeFill="text1" w:themeFillTint="80"/>
            <w:noWrap/>
            <w:vAlign w:val="center"/>
            <w:hideMark/>
          </w:tcPr>
          <w:p w14:paraId="69DA8391" w14:textId="77777777" w:rsidR="007C6D37" w:rsidRPr="002150BE" w:rsidRDefault="007C6D37" w:rsidP="007C6D37">
            <w:pPr>
              <w:spacing w:after="0" w:line="240" w:lineRule="auto"/>
              <w:jc w:val="center"/>
              <w:rPr>
                <w:rFonts w:asciiTheme="minorHAnsi" w:hAnsiTheme="minorHAnsi" w:cstheme="minorHAnsi"/>
                <w:b/>
                <w:color w:val="FFFFFF" w:themeColor="background1"/>
                <w:sz w:val="18"/>
                <w:lang w:eastAsia="es-MX"/>
              </w:rPr>
            </w:pPr>
            <w:r w:rsidRPr="002150BE">
              <w:rPr>
                <w:rFonts w:asciiTheme="minorHAnsi" w:hAnsiTheme="minorHAnsi" w:cstheme="minorHAnsi"/>
                <w:b/>
                <w:color w:val="FFFFFF" w:themeColor="background1"/>
                <w:sz w:val="18"/>
                <w:lang w:eastAsia="es-MX"/>
              </w:rPr>
              <w:t>Flujograma</w:t>
            </w:r>
          </w:p>
        </w:tc>
      </w:tr>
      <w:tr w:rsidR="007C6D37" w:rsidRPr="002150BE" w14:paraId="62449BE7" w14:textId="77777777" w:rsidTr="00B50525">
        <w:trPr>
          <w:trHeight w:val="357"/>
        </w:trPr>
        <w:tc>
          <w:tcPr>
            <w:tcW w:w="0" w:type="auto"/>
            <w:gridSpan w:val="3"/>
            <w:tcBorders>
              <w:top w:val="single" w:sz="4" w:space="0" w:color="BFBFBF" w:themeColor="background1" w:themeShade="BF"/>
              <w:left w:val="single" w:sz="4" w:space="0" w:color="BFBFBF" w:themeColor="background1" w:themeShade="BF"/>
              <w:bottom w:val="nil"/>
              <w:right w:val="nil"/>
            </w:tcBorders>
            <w:noWrap/>
            <w:vAlign w:val="center"/>
          </w:tcPr>
          <w:p w14:paraId="4876D004" w14:textId="77777777" w:rsidR="007C6D37" w:rsidRPr="002150BE" w:rsidRDefault="007C6D37" w:rsidP="007C6D37">
            <w:pPr>
              <w:spacing w:after="0" w:line="240" w:lineRule="auto"/>
              <w:jc w:val="center"/>
              <w:rPr>
                <w:rFonts w:asciiTheme="minorHAnsi" w:hAnsiTheme="minorHAnsi" w:cstheme="minorHAnsi"/>
                <w:b/>
                <w:color w:val="000000"/>
                <w:sz w:val="18"/>
                <w:lang w:eastAsia="es-MX"/>
              </w:rPr>
            </w:pPr>
          </w:p>
        </w:tc>
        <w:tc>
          <w:tcPr>
            <w:tcW w:w="0" w:type="auto"/>
            <w:tcBorders>
              <w:top w:val="single" w:sz="4" w:space="0" w:color="BFBFBF" w:themeColor="background1" w:themeShade="BF"/>
              <w:left w:val="nil"/>
              <w:bottom w:val="nil"/>
              <w:right w:val="nil"/>
            </w:tcBorders>
            <w:noWrap/>
            <w:vAlign w:val="center"/>
            <w:hideMark/>
          </w:tcPr>
          <w:p w14:paraId="11170D30" w14:textId="77777777" w:rsidR="007C6D37" w:rsidRPr="002150BE" w:rsidRDefault="007C6D37" w:rsidP="007C6D37">
            <w:pPr>
              <w:spacing w:after="0" w:line="240" w:lineRule="auto"/>
              <w:jc w:val="center"/>
              <w:rPr>
                <w:rFonts w:asciiTheme="minorHAnsi" w:hAnsiTheme="minorHAnsi" w:cstheme="minorHAnsi"/>
                <w:b/>
                <w:sz w:val="18"/>
                <w:lang w:eastAsia="es-MX"/>
              </w:rPr>
            </w:pPr>
          </w:p>
        </w:tc>
        <w:tc>
          <w:tcPr>
            <w:tcW w:w="0" w:type="auto"/>
            <w:tcBorders>
              <w:top w:val="single" w:sz="4" w:space="0" w:color="BFBFBF" w:themeColor="background1" w:themeShade="BF"/>
              <w:left w:val="nil"/>
              <w:bottom w:val="nil"/>
              <w:right w:val="nil"/>
            </w:tcBorders>
            <w:noWrap/>
            <w:vAlign w:val="center"/>
            <w:hideMark/>
          </w:tcPr>
          <w:p w14:paraId="3C6194D9" w14:textId="77777777" w:rsidR="007C6D37" w:rsidRPr="002150BE" w:rsidRDefault="007C6D37" w:rsidP="007C6D37">
            <w:pPr>
              <w:spacing w:after="0" w:line="240" w:lineRule="auto"/>
              <w:jc w:val="center"/>
              <w:rPr>
                <w:rFonts w:asciiTheme="minorHAnsi" w:hAnsiTheme="minorHAnsi" w:cstheme="minorHAnsi"/>
                <w:b/>
                <w:sz w:val="18"/>
                <w:lang w:eastAsia="es-MX"/>
              </w:rPr>
            </w:pPr>
          </w:p>
        </w:tc>
        <w:tc>
          <w:tcPr>
            <w:tcW w:w="0" w:type="auto"/>
            <w:tcBorders>
              <w:top w:val="single" w:sz="4" w:space="0" w:color="BFBFBF" w:themeColor="background1" w:themeShade="BF"/>
              <w:left w:val="nil"/>
              <w:bottom w:val="nil"/>
              <w:right w:val="nil"/>
            </w:tcBorders>
            <w:noWrap/>
            <w:vAlign w:val="center"/>
            <w:hideMark/>
          </w:tcPr>
          <w:p w14:paraId="06981B55" w14:textId="33F40B77" w:rsidR="007C6D37" w:rsidRPr="002150BE" w:rsidRDefault="007C6D37" w:rsidP="007C6D37">
            <w:pPr>
              <w:spacing w:after="0" w:line="240" w:lineRule="auto"/>
              <w:jc w:val="center"/>
              <w:rPr>
                <w:rFonts w:asciiTheme="minorHAnsi" w:hAnsiTheme="minorHAnsi" w:cstheme="minorHAnsi"/>
                <w:b/>
                <w:sz w:val="18"/>
                <w:lang w:eastAsia="es-MX"/>
              </w:rPr>
            </w:pPr>
          </w:p>
        </w:tc>
        <w:tc>
          <w:tcPr>
            <w:tcW w:w="0" w:type="auto"/>
            <w:gridSpan w:val="2"/>
            <w:tcBorders>
              <w:top w:val="single" w:sz="4" w:space="0" w:color="BFBFBF" w:themeColor="background1" w:themeShade="BF"/>
              <w:left w:val="nil"/>
              <w:bottom w:val="nil"/>
              <w:right w:val="nil"/>
            </w:tcBorders>
            <w:noWrap/>
            <w:vAlign w:val="center"/>
            <w:hideMark/>
          </w:tcPr>
          <w:p w14:paraId="145D3ED5" w14:textId="77777777" w:rsidR="007C6D37" w:rsidRPr="002150BE" w:rsidRDefault="007C6D37" w:rsidP="007C6D37">
            <w:pPr>
              <w:spacing w:after="0" w:line="240" w:lineRule="auto"/>
              <w:jc w:val="center"/>
              <w:rPr>
                <w:rFonts w:asciiTheme="minorHAnsi" w:hAnsiTheme="minorHAnsi" w:cstheme="minorHAnsi"/>
                <w:b/>
                <w:i/>
                <w:iCs/>
                <w:color w:val="262626"/>
                <w:sz w:val="18"/>
                <w:lang w:eastAsia="es-MX"/>
              </w:rPr>
            </w:pPr>
          </w:p>
        </w:tc>
        <w:tc>
          <w:tcPr>
            <w:tcW w:w="0" w:type="auto"/>
            <w:tcBorders>
              <w:top w:val="single" w:sz="4" w:space="0" w:color="BFBFBF" w:themeColor="background1" w:themeShade="BF"/>
              <w:left w:val="nil"/>
              <w:bottom w:val="nil"/>
              <w:right w:val="nil"/>
            </w:tcBorders>
            <w:noWrap/>
            <w:vAlign w:val="center"/>
            <w:hideMark/>
          </w:tcPr>
          <w:p w14:paraId="584038A2" w14:textId="77777777" w:rsidR="007C6D37" w:rsidRPr="002150BE" w:rsidRDefault="007C6D37" w:rsidP="007C6D37">
            <w:pPr>
              <w:spacing w:after="0" w:line="240" w:lineRule="auto"/>
              <w:jc w:val="center"/>
              <w:rPr>
                <w:rFonts w:asciiTheme="minorHAnsi" w:hAnsiTheme="minorHAnsi" w:cstheme="minorHAnsi"/>
                <w:b/>
                <w:i/>
                <w:iCs/>
                <w:color w:val="262626"/>
                <w:sz w:val="18"/>
                <w:lang w:eastAsia="es-MX"/>
              </w:rPr>
            </w:pPr>
          </w:p>
        </w:tc>
        <w:tc>
          <w:tcPr>
            <w:tcW w:w="0" w:type="auto"/>
            <w:tcBorders>
              <w:top w:val="single" w:sz="4" w:space="0" w:color="BFBFBF" w:themeColor="background1" w:themeShade="BF"/>
              <w:left w:val="nil"/>
              <w:bottom w:val="nil"/>
              <w:right w:val="nil"/>
            </w:tcBorders>
            <w:noWrap/>
            <w:vAlign w:val="center"/>
            <w:hideMark/>
          </w:tcPr>
          <w:p w14:paraId="32C99517" w14:textId="77777777" w:rsidR="007C6D37" w:rsidRPr="002150BE" w:rsidRDefault="007C6D37" w:rsidP="007C6D37">
            <w:pPr>
              <w:spacing w:after="0" w:line="240" w:lineRule="auto"/>
              <w:jc w:val="center"/>
              <w:rPr>
                <w:rFonts w:asciiTheme="minorHAnsi" w:hAnsiTheme="minorHAnsi" w:cstheme="minorHAnsi"/>
                <w:b/>
                <w:sz w:val="18"/>
                <w:lang w:eastAsia="es-MX"/>
              </w:rPr>
            </w:pPr>
          </w:p>
        </w:tc>
        <w:tc>
          <w:tcPr>
            <w:tcW w:w="0" w:type="auto"/>
            <w:tcBorders>
              <w:top w:val="single" w:sz="4" w:space="0" w:color="BFBFBF" w:themeColor="background1" w:themeShade="BF"/>
              <w:left w:val="nil"/>
              <w:bottom w:val="nil"/>
              <w:right w:val="nil"/>
            </w:tcBorders>
            <w:noWrap/>
            <w:vAlign w:val="center"/>
            <w:hideMark/>
          </w:tcPr>
          <w:p w14:paraId="7A695EF4" w14:textId="77777777" w:rsidR="007C6D37" w:rsidRPr="002150BE" w:rsidRDefault="007C6D37" w:rsidP="007C6D37">
            <w:pPr>
              <w:spacing w:after="0" w:line="240" w:lineRule="auto"/>
              <w:jc w:val="center"/>
              <w:rPr>
                <w:rFonts w:asciiTheme="minorHAnsi" w:hAnsiTheme="minorHAnsi" w:cstheme="minorHAnsi"/>
                <w:b/>
                <w:sz w:val="18"/>
                <w:lang w:eastAsia="es-MX"/>
              </w:rPr>
            </w:pPr>
          </w:p>
        </w:tc>
        <w:tc>
          <w:tcPr>
            <w:tcW w:w="0" w:type="auto"/>
            <w:tcBorders>
              <w:top w:val="single" w:sz="4" w:space="0" w:color="BFBFBF" w:themeColor="background1" w:themeShade="BF"/>
              <w:left w:val="nil"/>
              <w:bottom w:val="nil"/>
              <w:right w:val="single" w:sz="4" w:space="0" w:color="BFBFBF" w:themeColor="background1" w:themeShade="BF"/>
            </w:tcBorders>
            <w:noWrap/>
            <w:vAlign w:val="center"/>
            <w:hideMark/>
          </w:tcPr>
          <w:p w14:paraId="376CC169" w14:textId="77777777" w:rsidR="007C6D37" w:rsidRPr="002150BE" w:rsidRDefault="007C6D37" w:rsidP="007C6D37">
            <w:pPr>
              <w:spacing w:after="0" w:line="240" w:lineRule="auto"/>
              <w:jc w:val="center"/>
              <w:rPr>
                <w:rFonts w:asciiTheme="minorHAnsi" w:hAnsiTheme="minorHAnsi" w:cstheme="minorHAnsi"/>
                <w:b/>
                <w:color w:val="262626"/>
                <w:sz w:val="18"/>
                <w:lang w:eastAsia="es-MX"/>
              </w:rPr>
            </w:pPr>
          </w:p>
        </w:tc>
      </w:tr>
      <w:tr w:rsidR="00901755" w:rsidRPr="002150BE" w14:paraId="36A68266" w14:textId="77777777" w:rsidTr="00901755">
        <w:trPr>
          <w:trHeight w:val="300"/>
        </w:trPr>
        <w:tc>
          <w:tcPr>
            <w:tcW w:w="1378" w:type="dxa"/>
            <w:tcBorders>
              <w:top w:val="nil"/>
              <w:left w:val="single" w:sz="4" w:space="0" w:color="BFBFBF" w:themeColor="background1" w:themeShade="BF"/>
              <w:bottom w:val="nil"/>
              <w:right w:val="nil"/>
            </w:tcBorders>
            <w:noWrap/>
          </w:tcPr>
          <w:p w14:paraId="7D1DE70C" w14:textId="77777777" w:rsidR="007C6D37" w:rsidRPr="002150BE" w:rsidRDefault="007C6D37" w:rsidP="007C6D37">
            <w:pPr>
              <w:spacing w:after="0" w:line="240" w:lineRule="auto"/>
              <w:jc w:val="center"/>
              <w:rPr>
                <w:rFonts w:asciiTheme="minorHAnsi" w:hAnsiTheme="minorHAnsi" w:cstheme="minorHAnsi"/>
                <w:b/>
                <w:color w:val="000000"/>
                <w:sz w:val="18"/>
                <w:lang w:eastAsia="es-MX"/>
              </w:rPr>
            </w:pPr>
          </w:p>
        </w:tc>
        <w:tc>
          <w:tcPr>
            <w:tcW w:w="1860" w:type="dxa"/>
            <w:vMerge w:val="restart"/>
            <w:tcBorders>
              <w:top w:val="nil"/>
              <w:left w:val="nil"/>
              <w:bottom w:val="nil"/>
              <w:right w:val="nil"/>
            </w:tcBorders>
          </w:tcPr>
          <w:p w14:paraId="7F35BA68" w14:textId="7C2A6500" w:rsidR="007C6D37" w:rsidRPr="002150BE" w:rsidRDefault="007C6D37" w:rsidP="007C6D37">
            <w:pPr>
              <w:spacing w:after="0" w:line="240" w:lineRule="auto"/>
              <w:rPr>
                <w:rFonts w:asciiTheme="minorHAnsi" w:hAnsiTheme="minorHAnsi" w:cstheme="minorHAnsi"/>
                <w:color w:val="262626"/>
                <w:sz w:val="18"/>
                <w:lang w:eastAsia="es-MX"/>
              </w:rPr>
            </w:pPr>
          </w:p>
        </w:tc>
        <w:tc>
          <w:tcPr>
            <w:tcW w:w="0" w:type="auto"/>
            <w:tcBorders>
              <w:top w:val="nil"/>
              <w:left w:val="nil"/>
              <w:bottom w:val="nil"/>
              <w:right w:val="nil"/>
            </w:tcBorders>
            <w:vAlign w:val="center"/>
            <w:hideMark/>
          </w:tcPr>
          <w:p w14:paraId="4B3D1C25" w14:textId="77777777" w:rsidR="007C6D37" w:rsidRPr="002150BE" w:rsidRDefault="007C6D37" w:rsidP="007C6D37">
            <w:pPr>
              <w:spacing w:after="0" w:line="240" w:lineRule="auto"/>
              <w:rPr>
                <w:rFonts w:asciiTheme="minorHAnsi" w:hAnsiTheme="minorHAnsi" w:cstheme="minorHAnsi"/>
                <w:color w:val="262626"/>
                <w:sz w:val="18"/>
                <w:lang w:eastAsia="es-MX"/>
              </w:rPr>
            </w:pPr>
          </w:p>
        </w:tc>
        <w:tc>
          <w:tcPr>
            <w:tcW w:w="0" w:type="auto"/>
            <w:tcBorders>
              <w:top w:val="nil"/>
              <w:left w:val="nil"/>
              <w:bottom w:val="nil"/>
              <w:right w:val="nil"/>
            </w:tcBorders>
            <w:vAlign w:val="center"/>
            <w:hideMark/>
          </w:tcPr>
          <w:p w14:paraId="026D94BB" w14:textId="77777777" w:rsidR="007C6D37" w:rsidRPr="002150BE" w:rsidRDefault="007C6D37" w:rsidP="007C6D37">
            <w:pPr>
              <w:spacing w:after="0" w:line="240" w:lineRule="auto"/>
              <w:rPr>
                <w:rFonts w:asciiTheme="minorHAnsi" w:hAnsiTheme="minorHAnsi" w:cstheme="minorHAnsi"/>
                <w:sz w:val="18"/>
                <w:lang w:eastAsia="es-MX"/>
              </w:rPr>
            </w:pPr>
          </w:p>
        </w:tc>
        <w:tc>
          <w:tcPr>
            <w:tcW w:w="0" w:type="auto"/>
            <w:tcBorders>
              <w:top w:val="nil"/>
              <w:left w:val="nil"/>
              <w:bottom w:val="nil"/>
              <w:right w:val="nil"/>
            </w:tcBorders>
            <w:vAlign w:val="center"/>
            <w:hideMark/>
          </w:tcPr>
          <w:p w14:paraId="40EF82E1" w14:textId="77777777" w:rsidR="007C6D37" w:rsidRPr="002150BE" w:rsidRDefault="007C6D37" w:rsidP="007C6D37">
            <w:pPr>
              <w:spacing w:after="0" w:line="240" w:lineRule="auto"/>
              <w:rPr>
                <w:rFonts w:asciiTheme="minorHAnsi" w:hAnsiTheme="minorHAnsi" w:cstheme="minorHAnsi"/>
                <w:sz w:val="18"/>
                <w:lang w:eastAsia="es-MX"/>
              </w:rPr>
            </w:pPr>
          </w:p>
        </w:tc>
        <w:tc>
          <w:tcPr>
            <w:tcW w:w="0" w:type="auto"/>
            <w:tcBorders>
              <w:top w:val="nil"/>
              <w:left w:val="nil"/>
              <w:bottom w:val="nil"/>
              <w:right w:val="nil"/>
            </w:tcBorders>
            <w:noWrap/>
            <w:vAlign w:val="center"/>
            <w:hideMark/>
          </w:tcPr>
          <w:p w14:paraId="3F7CCD61" w14:textId="77777777" w:rsidR="007C6D37" w:rsidRPr="002150BE" w:rsidRDefault="007C6D37" w:rsidP="007C6D37">
            <w:pPr>
              <w:spacing w:after="0" w:line="240" w:lineRule="auto"/>
              <w:rPr>
                <w:rFonts w:asciiTheme="minorHAnsi" w:hAnsiTheme="minorHAnsi" w:cstheme="minorHAnsi"/>
                <w:sz w:val="18"/>
                <w:lang w:eastAsia="es-MX"/>
              </w:rPr>
            </w:pPr>
          </w:p>
        </w:tc>
        <w:tc>
          <w:tcPr>
            <w:tcW w:w="2269" w:type="dxa"/>
            <w:tcBorders>
              <w:top w:val="nil"/>
              <w:left w:val="nil"/>
              <w:bottom w:val="nil"/>
              <w:right w:val="nil"/>
            </w:tcBorders>
            <w:noWrap/>
            <w:vAlign w:val="center"/>
            <w:hideMark/>
          </w:tcPr>
          <w:p w14:paraId="31DFD256" w14:textId="77777777" w:rsidR="007C6D37" w:rsidRPr="002150BE" w:rsidRDefault="007C6D37" w:rsidP="007C6D37">
            <w:pPr>
              <w:spacing w:after="0" w:line="240" w:lineRule="auto"/>
              <w:rPr>
                <w:rFonts w:asciiTheme="minorHAnsi" w:hAnsiTheme="minorHAnsi" w:cstheme="minorHAnsi"/>
                <w:sz w:val="18"/>
                <w:lang w:eastAsia="es-MX"/>
              </w:rPr>
            </w:pPr>
          </w:p>
        </w:tc>
        <w:tc>
          <w:tcPr>
            <w:tcW w:w="2109" w:type="dxa"/>
            <w:tcBorders>
              <w:top w:val="nil"/>
              <w:left w:val="nil"/>
              <w:bottom w:val="nil"/>
              <w:right w:val="nil"/>
            </w:tcBorders>
            <w:vAlign w:val="center"/>
            <w:hideMark/>
          </w:tcPr>
          <w:p w14:paraId="72950DBF" w14:textId="77777777" w:rsidR="007C6D37" w:rsidRPr="002150BE" w:rsidRDefault="007C6D37" w:rsidP="007C6D37">
            <w:pPr>
              <w:spacing w:after="0" w:line="240" w:lineRule="auto"/>
              <w:rPr>
                <w:rFonts w:asciiTheme="minorHAnsi" w:hAnsiTheme="minorHAnsi" w:cstheme="minorHAnsi"/>
                <w:sz w:val="18"/>
                <w:lang w:eastAsia="es-MX"/>
              </w:rPr>
            </w:pPr>
          </w:p>
        </w:tc>
        <w:tc>
          <w:tcPr>
            <w:tcW w:w="0" w:type="auto"/>
            <w:tcBorders>
              <w:top w:val="nil"/>
              <w:left w:val="nil"/>
              <w:bottom w:val="nil"/>
              <w:right w:val="nil"/>
            </w:tcBorders>
            <w:vAlign w:val="center"/>
            <w:hideMark/>
          </w:tcPr>
          <w:p w14:paraId="5B3D56CA" w14:textId="77777777" w:rsidR="007C6D37" w:rsidRPr="002150BE" w:rsidRDefault="007C6D37" w:rsidP="007C6D37">
            <w:pPr>
              <w:spacing w:after="0" w:line="240" w:lineRule="auto"/>
              <w:rPr>
                <w:rFonts w:asciiTheme="minorHAnsi" w:hAnsiTheme="minorHAnsi" w:cstheme="minorHAnsi"/>
                <w:sz w:val="18"/>
                <w:lang w:eastAsia="es-MX"/>
              </w:rPr>
            </w:pPr>
          </w:p>
        </w:tc>
        <w:tc>
          <w:tcPr>
            <w:tcW w:w="0" w:type="auto"/>
            <w:tcBorders>
              <w:top w:val="nil"/>
              <w:left w:val="nil"/>
              <w:bottom w:val="nil"/>
              <w:right w:val="nil"/>
            </w:tcBorders>
            <w:vAlign w:val="center"/>
            <w:hideMark/>
          </w:tcPr>
          <w:p w14:paraId="5B376DB4" w14:textId="77777777" w:rsidR="007C6D37" w:rsidRPr="002150BE" w:rsidRDefault="007C6D37" w:rsidP="007C6D37">
            <w:pPr>
              <w:spacing w:after="0" w:line="240" w:lineRule="auto"/>
              <w:rPr>
                <w:rFonts w:asciiTheme="minorHAnsi" w:hAnsiTheme="minorHAnsi" w:cstheme="minorHAnsi"/>
                <w:sz w:val="18"/>
                <w:lang w:eastAsia="es-MX"/>
              </w:rPr>
            </w:pPr>
          </w:p>
        </w:tc>
        <w:tc>
          <w:tcPr>
            <w:tcW w:w="0" w:type="auto"/>
            <w:tcBorders>
              <w:top w:val="nil"/>
              <w:left w:val="nil"/>
              <w:bottom w:val="nil"/>
              <w:right w:val="nil"/>
            </w:tcBorders>
            <w:vAlign w:val="center"/>
            <w:hideMark/>
          </w:tcPr>
          <w:p w14:paraId="787888ED" w14:textId="77777777" w:rsidR="007C6D37" w:rsidRPr="002150BE" w:rsidRDefault="007C6D37" w:rsidP="007C6D37">
            <w:pPr>
              <w:spacing w:after="0" w:line="240" w:lineRule="auto"/>
              <w:rPr>
                <w:rFonts w:asciiTheme="minorHAnsi" w:hAnsiTheme="minorHAnsi" w:cstheme="minorHAnsi"/>
                <w:sz w:val="18"/>
                <w:lang w:eastAsia="es-MX"/>
              </w:rPr>
            </w:pPr>
          </w:p>
        </w:tc>
        <w:tc>
          <w:tcPr>
            <w:tcW w:w="0" w:type="auto"/>
            <w:tcBorders>
              <w:top w:val="nil"/>
              <w:left w:val="nil"/>
              <w:bottom w:val="nil"/>
              <w:right w:val="single" w:sz="4" w:space="0" w:color="BFBFBF" w:themeColor="background1" w:themeShade="BF"/>
            </w:tcBorders>
            <w:vAlign w:val="center"/>
            <w:hideMark/>
          </w:tcPr>
          <w:p w14:paraId="4329D393" w14:textId="77777777" w:rsidR="007C6D37" w:rsidRPr="002150BE" w:rsidRDefault="007C6D37" w:rsidP="007C6D37">
            <w:pPr>
              <w:spacing w:after="0" w:line="240" w:lineRule="auto"/>
              <w:rPr>
                <w:rFonts w:asciiTheme="minorHAnsi" w:hAnsiTheme="minorHAnsi" w:cstheme="minorHAnsi"/>
                <w:color w:val="262626"/>
                <w:sz w:val="18"/>
                <w:lang w:eastAsia="es-MX"/>
              </w:rPr>
            </w:pPr>
            <w:r w:rsidRPr="002150BE">
              <w:rPr>
                <w:rFonts w:asciiTheme="minorHAnsi" w:hAnsiTheme="minorHAnsi" w:cstheme="minorHAnsi"/>
                <w:color w:val="262626"/>
                <w:sz w:val="18"/>
                <w:lang w:eastAsia="es-MX"/>
              </w:rPr>
              <w:t> </w:t>
            </w:r>
          </w:p>
        </w:tc>
      </w:tr>
      <w:tr w:rsidR="00901755" w:rsidRPr="002150BE" w14:paraId="1BC21A2D" w14:textId="77777777" w:rsidTr="00901755">
        <w:trPr>
          <w:trHeight w:val="264"/>
        </w:trPr>
        <w:tc>
          <w:tcPr>
            <w:tcW w:w="1378" w:type="dxa"/>
            <w:tcBorders>
              <w:top w:val="nil"/>
              <w:left w:val="single" w:sz="4" w:space="0" w:color="BFBFBF" w:themeColor="background1" w:themeShade="BF"/>
              <w:bottom w:val="nil"/>
            </w:tcBorders>
            <w:noWrap/>
          </w:tcPr>
          <w:p w14:paraId="2CE54E49" w14:textId="77777777" w:rsidR="007C6D37" w:rsidRPr="002150BE" w:rsidRDefault="007C6D37" w:rsidP="007C6D37">
            <w:pPr>
              <w:spacing w:after="0" w:line="240" w:lineRule="auto"/>
              <w:rPr>
                <w:rFonts w:asciiTheme="minorHAnsi" w:hAnsiTheme="minorHAnsi" w:cstheme="minorHAnsi"/>
                <w:color w:val="000000"/>
                <w:sz w:val="18"/>
                <w:lang w:eastAsia="es-MX"/>
              </w:rPr>
            </w:pPr>
          </w:p>
        </w:tc>
        <w:tc>
          <w:tcPr>
            <w:tcW w:w="1860" w:type="dxa"/>
            <w:vMerge/>
            <w:tcBorders>
              <w:top w:val="nil"/>
              <w:bottom w:val="nil"/>
              <w:right w:val="nil"/>
            </w:tcBorders>
          </w:tcPr>
          <w:p w14:paraId="73F90814" w14:textId="77777777" w:rsidR="007C6D37" w:rsidRPr="002150BE" w:rsidRDefault="007C6D37" w:rsidP="007C6D37">
            <w:pPr>
              <w:spacing w:after="0" w:line="240" w:lineRule="auto"/>
              <w:rPr>
                <w:rFonts w:asciiTheme="minorHAnsi" w:hAnsiTheme="minorHAnsi" w:cstheme="minorHAnsi"/>
                <w:color w:val="262626"/>
                <w:sz w:val="18"/>
                <w:lang w:eastAsia="es-MX"/>
              </w:rPr>
            </w:pPr>
          </w:p>
        </w:tc>
        <w:tc>
          <w:tcPr>
            <w:tcW w:w="0" w:type="auto"/>
            <w:tcBorders>
              <w:top w:val="nil"/>
              <w:left w:val="nil"/>
              <w:bottom w:val="nil"/>
              <w:right w:val="nil"/>
            </w:tcBorders>
            <w:vAlign w:val="center"/>
            <w:hideMark/>
          </w:tcPr>
          <w:p w14:paraId="33B7E4FF" w14:textId="77777777" w:rsidR="007C6D37" w:rsidRPr="002150BE" w:rsidRDefault="007C6D37" w:rsidP="007C6D37">
            <w:pPr>
              <w:spacing w:after="0" w:line="240" w:lineRule="auto"/>
              <w:rPr>
                <w:rFonts w:asciiTheme="minorHAnsi" w:hAnsiTheme="minorHAnsi" w:cstheme="minorHAnsi"/>
                <w:color w:val="000000"/>
                <w:sz w:val="18"/>
                <w:lang w:eastAsia="es-MX"/>
              </w:rPr>
            </w:pPr>
          </w:p>
        </w:tc>
        <w:tc>
          <w:tcPr>
            <w:tcW w:w="0" w:type="auto"/>
            <w:tcBorders>
              <w:top w:val="nil"/>
              <w:left w:val="nil"/>
              <w:bottom w:val="nil"/>
              <w:right w:val="nil"/>
            </w:tcBorders>
            <w:vAlign w:val="center"/>
            <w:hideMark/>
          </w:tcPr>
          <w:p w14:paraId="30D8DCAF" w14:textId="77777777" w:rsidR="007C6D37" w:rsidRPr="002150BE" w:rsidRDefault="007C6D37" w:rsidP="007C6D37">
            <w:pPr>
              <w:spacing w:after="0" w:line="240" w:lineRule="auto"/>
              <w:rPr>
                <w:rFonts w:asciiTheme="minorHAnsi" w:hAnsiTheme="minorHAnsi" w:cstheme="minorHAnsi"/>
                <w:sz w:val="18"/>
                <w:lang w:eastAsia="es-MX"/>
              </w:rPr>
            </w:pPr>
          </w:p>
        </w:tc>
        <w:tc>
          <w:tcPr>
            <w:tcW w:w="0" w:type="auto"/>
            <w:tcBorders>
              <w:top w:val="nil"/>
              <w:left w:val="nil"/>
              <w:bottom w:val="nil"/>
              <w:right w:val="nil"/>
            </w:tcBorders>
            <w:vAlign w:val="center"/>
            <w:hideMark/>
          </w:tcPr>
          <w:p w14:paraId="0A96FB72" w14:textId="77777777" w:rsidR="007C6D37" w:rsidRPr="002150BE" w:rsidRDefault="007C6D37" w:rsidP="007C6D37">
            <w:pPr>
              <w:spacing w:after="0" w:line="240" w:lineRule="auto"/>
              <w:rPr>
                <w:rFonts w:asciiTheme="minorHAnsi" w:hAnsiTheme="minorHAnsi" w:cstheme="minorHAnsi"/>
                <w:sz w:val="18"/>
                <w:lang w:eastAsia="es-MX"/>
              </w:rPr>
            </w:pPr>
          </w:p>
        </w:tc>
        <w:tc>
          <w:tcPr>
            <w:tcW w:w="0" w:type="auto"/>
            <w:tcBorders>
              <w:top w:val="nil"/>
              <w:left w:val="nil"/>
              <w:bottom w:val="nil"/>
              <w:right w:val="nil"/>
            </w:tcBorders>
            <w:vAlign w:val="center"/>
            <w:hideMark/>
          </w:tcPr>
          <w:p w14:paraId="5D38FE08" w14:textId="77777777" w:rsidR="007C6D37" w:rsidRPr="002150BE" w:rsidRDefault="007C6D37" w:rsidP="007C6D37">
            <w:pPr>
              <w:spacing w:after="0" w:line="240" w:lineRule="auto"/>
              <w:rPr>
                <w:rFonts w:asciiTheme="minorHAnsi" w:hAnsiTheme="minorHAnsi" w:cstheme="minorHAnsi"/>
                <w:sz w:val="18"/>
                <w:lang w:eastAsia="es-MX"/>
              </w:rPr>
            </w:pPr>
          </w:p>
        </w:tc>
        <w:tc>
          <w:tcPr>
            <w:tcW w:w="2269" w:type="dxa"/>
            <w:tcBorders>
              <w:top w:val="nil"/>
              <w:left w:val="nil"/>
              <w:bottom w:val="nil"/>
              <w:right w:val="nil"/>
            </w:tcBorders>
            <w:vAlign w:val="center"/>
            <w:hideMark/>
          </w:tcPr>
          <w:p w14:paraId="6E766CE5" w14:textId="77777777" w:rsidR="007C6D37" w:rsidRPr="002150BE" w:rsidRDefault="007C6D37" w:rsidP="007C6D37">
            <w:pPr>
              <w:spacing w:after="0" w:line="240" w:lineRule="auto"/>
              <w:rPr>
                <w:rFonts w:asciiTheme="minorHAnsi" w:hAnsiTheme="minorHAnsi" w:cstheme="minorHAnsi"/>
                <w:sz w:val="18"/>
                <w:lang w:eastAsia="es-MX"/>
              </w:rPr>
            </w:pPr>
          </w:p>
        </w:tc>
        <w:tc>
          <w:tcPr>
            <w:tcW w:w="2109" w:type="dxa"/>
            <w:tcBorders>
              <w:top w:val="nil"/>
              <w:left w:val="nil"/>
              <w:bottom w:val="nil"/>
              <w:right w:val="nil"/>
            </w:tcBorders>
            <w:vAlign w:val="center"/>
            <w:hideMark/>
          </w:tcPr>
          <w:p w14:paraId="503C6DEC" w14:textId="77777777" w:rsidR="007C6D37" w:rsidRPr="002150BE" w:rsidRDefault="007C6D37" w:rsidP="007C6D37">
            <w:pPr>
              <w:spacing w:after="0" w:line="240" w:lineRule="auto"/>
              <w:rPr>
                <w:rFonts w:asciiTheme="minorHAnsi" w:hAnsiTheme="minorHAnsi" w:cstheme="minorHAnsi"/>
                <w:sz w:val="18"/>
                <w:lang w:eastAsia="es-MX"/>
              </w:rPr>
            </w:pPr>
          </w:p>
        </w:tc>
        <w:tc>
          <w:tcPr>
            <w:tcW w:w="0" w:type="auto"/>
            <w:tcBorders>
              <w:top w:val="nil"/>
              <w:left w:val="nil"/>
              <w:bottom w:val="nil"/>
              <w:right w:val="nil"/>
            </w:tcBorders>
            <w:vAlign w:val="center"/>
            <w:hideMark/>
          </w:tcPr>
          <w:p w14:paraId="3951E3C1" w14:textId="77777777" w:rsidR="007C6D37" w:rsidRPr="002150BE" w:rsidRDefault="007C6D37" w:rsidP="007C6D37">
            <w:pPr>
              <w:spacing w:after="0" w:line="240" w:lineRule="auto"/>
              <w:rPr>
                <w:rFonts w:asciiTheme="minorHAnsi" w:hAnsiTheme="minorHAnsi" w:cstheme="minorHAnsi"/>
                <w:sz w:val="18"/>
                <w:lang w:eastAsia="es-MX"/>
              </w:rPr>
            </w:pPr>
          </w:p>
        </w:tc>
        <w:tc>
          <w:tcPr>
            <w:tcW w:w="0" w:type="auto"/>
            <w:tcBorders>
              <w:top w:val="nil"/>
              <w:left w:val="nil"/>
              <w:bottom w:val="nil"/>
              <w:right w:val="nil"/>
            </w:tcBorders>
            <w:vAlign w:val="center"/>
            <w:hideMark/>
          </w:tcPr>
          <w:p w14:paraId="159B47F8" w14:textId="77777777" w:rsidR="007C6D37" w:rsidRPr="002150BE" w:rsidRDefault="007C6D37" w:rsidP="007C6D37">
            <w:pPr>
              <w:spacing w:after="0" w:line="240" w:lineRule="auto"/>
              <w:rPr>
                <w:rFonts w:asciiTheme="minorHAnsi" w:hAnsiTheme="minorHAnsi" w:cstheme="minorHAnsi"/>
                <w:sz w:val="18"/>
                <w:lang w:eastAsia="es-MX"/>
              </w:rPr>
            </w:pPr>
          </w:p>
        </w:tc>
        <w:tc>
          <w:tcPr>
            <w:tcW w:w="0" w:type="auto"/>
            <w:tcBorders>
              <w:top w:val="nil"/>
              <w:left w:val="nil"/>
              <w:bottom w:val="nil"/>
              <w:right w:val="nil"/>
            </w:tcBorders>
            <w:vAlign w:val="center"/>
            <w:hideMark/>
          </w:tcPr>
          <w:p w14:paraId="0124BB4E" w14:textId="77777777" w:rsidR="007C6D37" w:rsidRPr="002150BE" w:rsidRDefault="007C6D37" w:rsidP="007C6D37">
            <w:pPr>
              <w:spacing w:after="0" w:line="240" w:lineRule="auto"/>
              <w:rPr>
                <w:rFonts w:asciiTheme="minorHAnsi" w:hAnsiTheme="minorHAnsi" w:cstheme="minorHAnsi"/>
                <w:sz w:val="18"/>
                <w:lang w:eastAsia="es-MX"/>
              </w:rPr>
            </w:pPr>
          </w:p>
        </w:tc>
        <w:tc>
          <w:tcPr>
            <w:tcW w:w="0" w:type="auto"/>
            <w:tcBorders>
              <w:top w:val="nil"/>
              <w:left w:val="nil"/>
              <w:bottom w:val="nil"/>
              <w:right w:val="single" w:sz="4" w:space="0" w:color="BFBFBF" w:themeColor="background1" w:themeShade="BF"/>
            </w:tcBorders>
            <w:vAlign w:val="center"/>
            <w:hideMark/>
          </w:tcPr>
          <w:p w14:paraId="79325A60" w14:textId="77777777" w:rsidR="007C6D37" w:rsidRPr="002150BE" w:rsidRDefault="007C6D37" w:rsidP="007C6D37">
            <w:pPr>
              <w:spacing w:after="0" w:line="240" w:lineRule="auto"/>
              <w:rPr>
                <w:rFonts w:asciiTheme="minorHAnsi" w:hAnsiTheme="minorHAnsi" w:cstheme="minorHAnsi"/>
                <w:color w:val="262626"/>
                <w:sz w:val="18"/>
                <w:lang w:eastAsia="es-MX"/>
              </w:rPr>
            </w:pPr>
            <w:r w:rsidRPr="002150BE">
              <w:rPr>
                <w:rFonts w:asciiTheme="minorHAnsi" w:hAnsiTheme="minorHAnsi" w:cstheme="minorHAnsi"/>
                <w:color w:val="262626"/>
                <w:sz w:val="18"/>
                <w:lang w:eastAsia="es-MX"/>
              </w:rPr>
              <w:t> </w:t>
            </w:r>
          </w:p>
        </w:tc>
      </w:tr>
      <w:tr w:rsidR="00901755" w:rsidRPr="002150BE" w14:paraId="60AC96EB" w14:textId="77777777" w:rsidTr="00901755">
        <w:trPr>
          <w:trHeight w:val="300"/>
        </w:trPr>
        <w:tc>
          <w:tcPr>
            <w:tcW w:w="1378" w:type="dxa"/>
            <w:tcBorders>
              <w:top w:val="nil"/>
              <w:left w:val="single" w:sz="4" w:space="0" w:color="BFBFBF" w:themeColor="background1" w:themeShade="BF"/>
              <w:bottom w:val="nil"/>
              <w:right w:val="nil"/>
            </w:tcBorders>
            <w:noWrap/>
          </w:tcPr>
          <w:p w14:paraId="0072F4C3" w14:textId="77777777" w:rsidR="007C6D37" w:rsidRPr="002150BE" w:rsidRDefault="007C6D37" w:rsidP="007C6D37">
            <w:pPr>
              <w:spacing w:after="0" w:line="240" w:lineRule="auto"/>
              <w:jc w:val="center"/>
              <w:rPr>
                <w:rFonts w:asciiTheme="minorHAnsi" w:hAnsiTheme="minorHAnsi" w:cstheme="minorHAnsi"/>
                <w:b/>
                <w:color w:val="000000"/>
                <w:sz w:val="18"/>
                <w:lang w:eastAsia="es-MX"/>
              </w:rPr>
            </w:pPr>
          </w:p>
        </w:tc>
        <w:tc>
          <w:tcPr>
            <w:tcW w:w="1860" w:type="dxa"/>
            <w:vMerge w:val="restart"/>
            <w:tcBorders>
              <w:top w:val="nil"/>
              <w:left w:val="nil"/>
              <w:bottom w:val="nil"/>
              <w:right w:val="nil"/>
            </w:tcBorders>
          </w:tcPr>
          <w:p w14:paraId="55248A18" w14:textId="21F85E77" w:rsidR="007C6D37" w:rsidRPr="002150BE" w:rsidRDefault="007C6D37" w:rsidP="007C6D37">
            <w:pPr>
              <w:spacing w:after="0" w:line="240" w:lineRule="auto"/>
              <w:rPr>
                <w:rFonts w:asciiTheme="minorHAnsi" w:hAnsiTheme="minorHAnsi" w:cstheme="minorHAnsi"/>
                <w:color w:val="262626"/>
                <w:sz w:val="18"/>
                <w:lang w:eastAsia="es-MX"/>
              </w:rPr>
            </w:pPr>
          </w:p>
          <w:p w14:paraId="75D2AFD4" w14:textId="77777777" w:rsidR="005E6511" w:rsidRPr="002150BE" w:rsidRDefault="005E6511" w:rsidP="007C6D37">
            <w:pPr>
              <w:spacing w:after="0" w:line="240" w:lineRule="auto"/>
              <w:rPr>
                <w:rFonts w:asciiTheme="minorHAnsi" w:hAnsiTheme="minorHAnsi" w:cstheme="minorHAnsi"/>
                <w:color w:val="262626"/>
                <w:sz w:val="18"/>
                <w:lang w:eastAsia="es-MX"/>
              </w:rPr>
            </w:pPr>
          </w:p>
        </w:tc>
        <w:tc>
          <w:tcPr>
            <w:tcW w:w="0" w:type="auto"/>
            <w:tcBorders>
              <w:top w:val="nil"/>
              <w:left w:val="nil"/>
              <w:bottom w:val="nil"/>
              <w:right w:val="nil"/>
            </w:tcBorders>
            <w:vAlign w:val="center"/>
            <w:hideMark/>
          </w:tcPr>
          <w:p w14:paraId="2EB06003" w14:textId="77777777" w:rsidR="007C6D37" w:rsidRPr="002150BE" w:rsidRDefault="007C6D37" w:rsidP="007C6D37">
            <w:pPr>
              <w:spacing w:after="0" w:line="240" w:lineRule="auto"/>
              <w:rPr>
                <w:rFonts w:asciiTheme="minorHAnsi" w:hAnsiTheme="minorHAnsi" w:cstheme="minorHAnsi"/>
                <w:color w:val="262626"/>
                <w:sz w:val="18"/>
                <w:lang w:eastAsia="es-MX"/>
              </w:rPr>
            </w:pPr>
          </w:p>
        </w:tc>
        <w:tc>
          <w:tcPr>
            <w:tcW w:w="0" w:type="auto"/>
            <w:tcBorders>
              <w:top w:val="nil"/>
              <w:left w:val="nil"/>
              <w:bottom w:val="nil"/>
              <w:right w:val="nil"/>
            </w:tcBorders>
            <w:vAlign w:val="center"/>
            <w:hideMark/>
          </w:tcPr>
          <w:p w14:paraId="3F6020A4" w14:textId="77777777" w:rsidR="007C6D37" w:rsidRPr="002150BE" w:rsidRDefault="007C6D37" w:rsidP="007C6D37">
            <w:pPr>
              <w:spacing w:after="0" w:line="240" w:lineRule="auto"/>
              <w:rPr>
                <w:rFonts w:asciiTheme="minorHAnsi" w:hAnsiTheme="minorHAnsi" w:cstheme="minorHAnsi"/>
                <w:sz w:val="18"/>
                <w:lang w:eastAsia="es-MX"/>
              </w:rPr>
            </w:pPr>
          </w:p>
        </w:tc>
        <w:tc>
          <w:tcPr>
            <w:tcW w:w="0" w:type="auto"/>
            <w:tcBorders>
              <w:top w:val="nil"/>
              <w:left w:val="nil"/>
              <w:bottom w:val="nil"/>
              <w:right w:val="nil"/>
            </w:tcBorders>
            <w:vAlign w:val="center"/>
            <w:hideMark/>
          </w:tcPr>
          <w:p w14:paraId="65D10D57" w14:textId="77777777" w:rsidR="007C6D37" w:rsidRPr="002150BE" w:rsidRDefault="007C6D37" w:rsidP="007C6D37">
            <w:pPr>
              <w:spacing w:after="0" w:line="240" w:lineRule="auto"/>
              <w:rPr>
                <w:rFonts w:asciiTheme="minorHAnsi" w:hAnsiTheme="minorHAnsi" w:cstheme="minorHAnsi"/>
                <w:sz w:val="18"/>
                <w:lang w:eastAsia="es-MX"/>
              </w:rPr>
            </w:pPr>
          </w:p>
        </w:tc>
        <w:tc>
          <w:tcPr>
            <w:tcW w:w="0" w:type="auto"/>
            <w:tcBorders>
              <w:top w:val="nil"/>
              <w:left w:val="nil"/>
              <w:bottom w:val="nil"/>
              <w:right w:val="nil"/>
            </w:tcBorders>
            <w:vAlign w:val="center"/>
            <w:hideMark/>
          </w:tcPr>
          <w:p w14:paraId="1FF9B3AD" w14:textId="77777777" w:rsidR="007C6D37" w:rsidRPr="002150BE" w:rsidRDefault="007C6D37" w:rsidP="007C6D37">
            <w:pPr>
              <w:spacing w:after="0" w:line="240" w:lineRule="auto"/>
              <w:rPr>
                <w:rFonts w:asciiTheme="minorHAnsi" w:hAnsiTheme="minorHAnsi" w:cstheme="minorHAnsi"/>
                <w:sz w:val="18"/>
                <w:lang w:eastAsia="es-MX"/>
              </w:rPr>
            </w:pPr>
          </w:p>
        </w:tc>
        <w:tc>
          <w:tcPr>
            <w:tcW w:w="2269" w:type="dxa"/>
            <w:tcBorders>
              <w:top w:val="nil"/>
              <w:left w:val="nil"/>
              <w:bottom w:val="nil"/>
              <w:right w:val="nil"/>
            </w:tcBorders>
            <w:vAlign w:val="center"/>
            <w:hideMark/>
          </w:tcPr>
          <w:p w14:paraId="496EAAFF" w14:textId="77777777" w:rsidR="007C6D37" w:rsidRPr="002150BE" w:rsidRDefault="007C6D37" w:rsidP="007C6D37">
            <w:pPr>
              <w:spacing w:after="0" w:line="240" w:lineRule="auto"/>
              <w:rPr>
                <w:rFonts w:asciiTheme="minorHAnsi" w:hAnsiTheme="minorHAnsi" w:cstheme="minorHAnsi"/>
                <w:sz w:val="18"/>
                <w:lang w:eastAsia="es-MX"/>
              </w:rPr>
            </w:pPr>
          </w:p>
        </w:tc>
        <w:tc>
          <w:tcPr>
            <w:tcW w:w="2109" w:type="dxa"/>
            <w:tcBorders>
              <w:top w:val="nil"/>
              <w:left w:val="nil"/>
              <w:bottom w:val="nil"/>
              <w:right w:val="nil"/>
            </w:tcBorders>
            <w:vAlign w:val="center"/>
            <w:hideMark/>
          </w:tcPr>
          <w:p w14:paraId="35A2C67D" w14:textId="77777777" w:rsidR="007C6D37" w:rsidRPr="002150BE" w:rsidRDefault="007C6D37" w:rsidP="007C6D37">
            <w:pPr>
              <w:spacing w:after="0" w:line="240" w:lineRule="auto"/>
              <w:rPr>
                <w:rFonts w:asciiTheme="minorHAnsi" w:hAnsiTheme="minorHAnsi" w:cstheme="minorHAnsi"/>
                <w:sz w:val="18"/>
                <w:lang w:eastAsia="es-MX"/>
              </w:rPr>
            </w:pPr>
          </w:p>
        </w:tc>
        <w:tc>
          <w:tcPr>
            <w:tcW w:w="0" w:type="auto"/>
            <w:tcBorders>
              <w:top w:val="nil"/>
              <w:left w:val="nil"/>
              <w:bottom w:val="nil"/>
              <w:right w:val="nil"/>
            </w:tcBorders>
            <w:vAlign w:val="center"/>
            <w:hideMark/>
          </w:tcPr>
          <w:p w14:paraId="40A578AF" w14:textId="77777777" w:rsidR="007C6D37" w:rsidRPr="002150BE" w:rsidRDefault="007C6D37" w:rsidP="007C6D37">
            <w:pPr>
              <w:spacing w:after="0" w:line="240" w:lineRule="auto"/>
              <w:rPr>
                <w:rFonts w:asciiTheme="minorHAnsi" w:hAnsiTheme="minorHAnsi" w:cstheme="minorHAnsi"/>
                <w:sz w:val="18"/>
                <w:lang w:eastAsia="es-MX"/>
              </w:rPr>
            </w:pPr>
          </w:p>
        </w:tc>
        <w:tc>
          <w:tcPr>
            <w:tcW w:w="0" w:type="auto"/>
            <w:tcBorders>
              <w:top w:val="nil"/>
              <w:left w:val="nil"/>
              <w:bottom w:val="nil"/>
              <w:right w:val="nil"/>
            </w:tcBorders>
            <w:vAlign w:val="center"/>
            <w:hideMark/>
          </w:tcPr>
          <w:p w14:paraId="2713B229" w14:textId="77777777" w:rsidR="007C6D37" w:rsidRPr="002150BE" w:rsidRDefault="007C6D37" w:rsidP="007C6D37">
            <w:pPr>
              <w:spacing w:after="0" w:line="240" w:lineRule="auto"/>
              <w:rPr>
                <w:rFonts w:asciiTheme="minorHAnsi" w:hAnsiTheme="minorHAnsi" w:cstheme="minorHAnsi"/>
                <w:sz w:val="18"/>
                <w:lang w:eastAsia="es-MX"/>
              </w:rPr>
            </w:pPr>
          </w:p>
        </w:tc>
        <w:tc>
          <w:tcPr>
            <w:tcW w:w="0" w:type="auto"/>
            <w:tcBorders>
              <w:top w:val="nil"/>
              <w:left w:val="nil"/>
              <w:bottom w:val="nil"/>
              <w:right w:val="nil"/>
            </w:tcBorders>
            <w:vAlign w:val="center"/>
            <w:hideMark/>
          </w:tcPr>
          <w:p w14:paraId="39A6878B" w14:textId="77777777" w:rsidR="007C6D37" w:rsidRPr="002150BE" w:rsidRDefault="007C6D37" w:rsidP="007C6D37">
            <w:pPr>
              <w:spacing w:after="0" w:line="240" w:lineRule="auto"/>
              <w:rPr>
                <w:rFonts w:asciiTheme="minorHAnsi" w:hAnsiTheme="minorHAnsi" w:cstheme="minorHAnsi"/>
                <w:sz w:val="18"/>
                <w:lang w:eastAsia="es-MX"/>
              </w:rPr>
            </w:pPr>
          </w:p>
        </w:tc>
        <w:tc>
          <w:tcPr>
            <w:tcW w:w="0" w:type="auto"/>
            <w:tcBorders>
              <w:top w:val="nil"/>
              <w:left w:val="nil"/>
              <w:bottom w:val="nil"/>
              <w:right w:val="single" w:sz="4" w:space="0" w:color="BFBFBF" w:themeColor="background1" w:themeShade="BF"/>
            </w:tcBorders>
            <w:vAlign w:val="center"/>
            <w:hideMark/>
          </w:tcPr>
          <w:p w14:paraId="44AA9F43" w14:textId="77777777" w:rsidR="007C6D37" w:rsidRPr="002150BE" w:rsidRDefault="007C6D37" w:rsidP="007C6D37">
            <w:pPr>
              <w:spacing w:after="0" w:line="240" w:lineRule="auto"/>
              <w:rPr>
                <w:rFonts w:asciiTheme="minorHAnsi" w:hAnsiTheme="minorHAnsi" w:cstheme="minorHAnsi"/>
                <w:color w:val="262626"/>
                <w:sz w:val="18"/>
                <w:lang w:eastAsia="es-MX"/>
              </w:rPr>
            </w:pPr>
            <w:r w:rsidRPr="002150BE">
              <w:rPr>
                <w:rFonts w:asciiTheme="minorHAnsi" w:hAnsiTheme="minorHAnsi" w:cstheme="minorHAnsi"/>
                <w:color w:val="262626"/>
                <w:sz w:val="18"/>
                <w:lang w:eastAsia="es-MX"/>
              </w:rPr>
              <w:t> </w:t>
            </w:r>
          </w:p>
        </w:tc>
      </w:tr>
      <w:tr w:rsidR="00901755" w:rsidRPr="002150BE" w14:paraId="3BEBA17E" w14:textId="77777777" w:rsidTr="00901755">
        <w:trPr>
          <w:trHeight w:val="825"/>
        </w:trPr>
        <w:tc>
          <w:tcPr>
            <w:tcW w:w="1378" w:type="dxa"/>
            <w:tcBorders>
              <w:top w:val="nil"/>
              <w:left w:val="single" w:sz="4" w:space="0" w:color="BFBFBF" w:themeColor="background1" w:themeShade="BF"/>
              <w:bottom w:val="nil"/>
            </w:tcBorders>
            <w:noWrap/>
          </w:tcPr>
          <w:p w14:paraId="58269D72" w14:textId="77777777" w:rsidR="007C6D37" w:rsidRPr="002150BE" w:rsidRDefault="007C6D37" w:rsidP="007C6D37">
            <w:pPr>
              <w:spacing w:after="0" w:line="240" w:lineRule="auto"/>
              <w:rPr>
                <w:rFonts w:asciiTheme="minorHAnsi" w:hAnsiTheme="minorHAnsi" w:cstheme="minorHAnsi"/>
                <w:color w:val="000000"/>
                <w:sz w:val="18"/>
                <w:lang w:eastAsia="es-MX"/>
              </w:rPr>
            </w:pPr>
          </w:p>
        </w:tc>
        <w:tc>
          <w:tcPr>
            <w:tcW w:w="1860" w:type="dxa"/>
            <w:vMerge/>
            <w:tcBorders>
              <w:top w:val="nil"/>
              <w:bottom w:val="nil"/>
              <w:right w:val="nil"/>
            </w:tcBorders>
          </w:tcPr>
          <w:p w14:paraId="5C7303B7" w14:textId="77777777" w:rsidR="007C6D37" w:rsidRPr="002150BE" w:rsidRDefault="007C6D37" w:rsidP="007C6D37">
            <w:pPr>
              <w:spacing w:after="0" w:line="240" w:lineRule="auto"/>
              <w:rPr>
                <w:rFonts w:asciiTheme="minorHAnsi" w:hAnsiTheme="minorHAnsi" w:cstheme="minorHAnsi"/>
                <w:color w:val="262626"/>
                <w:sz w:val="18"/>
                <w:lang w:eastAsia="es-MX"/>
              </w:rPr>
            </w:pPr>
          </w:p>
        </w:tc>
        <w:tc>
          <w:tcPr>
            <w:tcW w:w="0" w:type="auto"/>
            <w:tcBorders>
              <w:top w:val="nil"/>
              <w:left w:val="nil"/>
              <w:bottom w:val="nil"/>
              <w:right w:val="nil"/>
            </w:tcBorders>
            <w:vAlign w:val="center"/>
            <w:hideMark/>
          </w:tcPr>
          <w:p w14:paraId="43627380" w14:textId="77777777" w:rsidR="007C6D37" w:rsidRPr="002150BE" w:rsidRDefault="007C6D37" w:rsidP="007C6D37">
            <w:pPr>
              <w:spacing w:after="0" w:line="240" w:lineRule="auto"/>
              <w:rPr>
                <w:rFonts w:asciiTheme="minorHAnsi" w:hAnsiTheme="minorHAnsi" w:cstheme="minorHAnsi"/>
                <w:color w:val="000000"/>
                <w:sz w:val="18"/>
                <w:lang w:eastAsia="es-MX"/>
              </w:rPr>
            </w:pPr>
          </w:p>
        </w:tc>
        <w:tc>
          <w:tcPr>
            <w:tcW w:w="0" w:type="auto"/>
            <w:tcBorders>
              <w:top w:val="nil"/>
              <w:left w:val="nil"/>
              <w:bottom w:val="nil"/>
              <w:right w:val="nil"/>
            </w:tcBorders>
            <w:vAlign w:val="center"/>
            <w:hideMark/>
          </w:tcPr>
          <w:p w14:paraId="32F5BE2E" w14:textId="77777777" w:rsidR="007C6D37" w:rsidRPr="002150BE" w:rsidRDefault="007C6D37" w:rsidP="007C6D37">
            <w:pPr>
              <w:spacing w:after="0" w:line="240" w:lineRule="auto"/>
              <w:rPr>
                <w:rFonts w:asciiTheme="minorHAnsi" w:hAnsiTheme="minorHAnsi" w:cstheme="minorHAnsi"/>
                <w:sz w:val="18"/>
                <w:lang w:eastAsia="es-MX"/>
              </w:rPr>
            </w:pPr>
          </w:p>
        </w:tc>
        <w:tc>
          <w:tcPr>
            <w:tcW w:w="0" w:type="auto"/>
            <w:tcBorders>
              <w:top w:val="nil"/>
              <w:left w:val="nil"/>
              <w:bottom w:val="nil"/>
              <w:right w:val="nil"/>
            </w:tcBorders>
            <w:vAlign w:val="center"/>
            <w:hideMark/>
          </w:tcPr>
          <w:p w14:paraId="188DCBE5" w14:textId="77777777" w:rsidR="007C6D37" w:rsidRPr="002150BE" w:rsidRDefault="007C6D37" w:rsidP="007C6D37">
            <w:pPr>
              <w:spacing w:after="0" w:line="240" w:lineRule="auto"/>
              <w:rPr>
                <w:rFonts w:asciiTheme="minorHAnsi" w:hAnsiTheme="minorHAnsi" w:cstheme="minorHAnsi"/>
                <w:sz w:val="18"/>
                <w:lang w:eastAsia="es-MX"/>
              </w:rPr>
            </w:pPr>
          </w:p>
        </w:tc>
        <w:tc>
          <w:tcPr>
            <w:tcW w:w="0" w:type="auto"/>
            <w:tcBorders>
              <w:top w:val="nil"/>
              <w:left w:val="nil"/>
              <w:bottom w:val="nil"/>
              <w:right w:val="nil"/>
            </w:tcBorders>
            <w:vAlign w:val="center"/>
            <w:hideMark/>
          </w:tcPr>
          <w:p w14:paraId="12D3DA39" w14:textId="056B6A30" w:rsidR="007C6D37" w:rsidRPr="002150BE" w:rsidRDefault="007C6D37" w:rsidP="007C6D37">
            <w:pPr>
              <w:spacing w:after="0" w:line="240" w:lineRule="auto"/>
              <w:rPr>
                <w:rFonts w:asciiTheme="minorHAnsi" w:hAnsiTheme="minorHAnsi" w:cstheme="minorHAnsi"/>
                <w:sz w:val="18"/>
                <w:lang w:eastAsia="es-MX"/>
              </w:rPr>
            </w:pPr>
          </w:p>
        </w:tc>
        <w:tc>
          <w:tcPr>
            <w:tcW w:w="2269" w:type="dxa"/>
            <w:tcBorders>
              <w:top w:val="nil"/>
              <w:left w:val="nil"/>
              <w:bottom w:val="nil"/>
              <w:right w:val="nil"/>
            </w:tcBorders>
            <w:vAlign w:val="center"/>
            <w:hideMark/>
          </w:tcPr>
          <w:p w14:paraId="646781DD" w14:textId="504CBB4B" w:rsidR="007C6D37" w:rsidRPr="002150BE" w:rsidRDefault="000B2089" w:rsidP="007C6D37">
            <w:pPr>
              <w:spacing w:after="0" w:line="240" w:lineRule="auto"/>
              <w:rPr>
                <w:rFonts w:asciiTheme="minorHAnsi" w:hAnsiTheme="minorHAnsi" w:cstheme="minorHAnsi"/>
                <w:sz w:val="18"/>
                <w:lang w:eastAsia="es-MX"/>
              </w:rPr>
            </w:pPr>
            <w:r w:rsidRPr="002150BE">
              <w:rPr>
                <w:rFonts w:asciiTheme="minorHAnsi" w:hAnsiTheme="minorHAnsi" w:cstheme="minorHAnsi"/>
                <w:noProof/>
                <w:color w:val="262626"/>
                <w:sz w:val="8"/>
                <w:lang w:eastAsia="es-MX"/>
              </w:rPr>
              <w:drawing>
                <wp:anchor distT="0" distB="0" distL="114300" distR="114300" simplePos="0" relativeHeight="251758080" behindDoc="1" locked="0" layoutInCell="1" allowOverlap="1" wp14:anchorId="3AE4484F" wp14:editId="0CF7CBB2">
                  <wp:simplePos x="0" y="0"/>
                  <wp:positionH relativeFrom="column">
                    <wp:posOffset>-2422525</wp:posOffset>
                  </wp:positionH>
                  <wp:positionV relativeFrom="paragraph">
                    <wp:posOffset>-656590</wp:posOffset>
                  </wp:positionV>
                  <wp:extent cx="2934335" cy="7140575"/>
                  <wp:effectExtent l="0" t="0" r="0" b="3175"/>
                  <wp:wrapNone/>
                  <wp:docPr id="9536757"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34335" cy="7140575"/>
                          </a:xfrm>
                          <a:prstGeom prst="rect">
                            <a:avLst/>
                          </a:prstGeom>
                          <a:noFill/>
                        </pic:spPr>
                      </pic:pic>
                    </a:graphicData>
                  </a:graphic>
                  <wp14:sizeRelH relativeFrom="margin">
                    <wp14:pctWidth>0</wp14:pctWidth>
                  </wp14:sizeRelH>
                  <wp14:sizeRelV relativeFrom="margin">
                    <wp14:pctHeight>0</wp14:pctHeight>
                  </wp14:sizeRelV>
                </wp:anchor>
              </w:drawing>
            </w:r>
          </w:p>
        </w:tc>
        <w:tc>
          <w:tcPr>
            <w:tcW w:w="2109" w:type="dxa"/>
            <w:tcBorders>
              <w:top w:val="nil"/>
              <w:left w:val="nil"/>
              <w:bottom w:val="nil"/>
              <w:right w:val="nil"/>
            </w:tcBorders>
            <w:vAlign w:val="center"/>
            <w:hideMark/>
          </w:tcPr>
          <w:p w14:paraId="71EDEE39" w14:textId="77777777" w:rsidR="007C6D37" w:rsidRPr="002150BE" w:rsidRDefault="007C6D37" w:rsidP="007C6D37">
            <w:pPr>
              <w:spacing w:after="0" w:line="240" w:lineRule="auto"/>
              <w:rPr>
                <w:rFonts w:asciiTheme="minorHAnsi" w:hAnsiTheme="minorHAnsi" w:cstheme="minorHAnsi"/>
                <w:sz w:val="18"/>
                <w:lang w:eastAsia="es-MX"/>
              </w:rPr>
            </w:pPr>
          </w:p>
        </w:tc>
        <w:tc>
          <w:tcPr>
            <w:tcW w:w="0" w:type="auto"/>
            <w:tcBorders>
              <w:top w:val="nil"/>
              <w:left w:val="nil"/>
              <w:bottom w:val="nil"/>
              <w:right w:val="nil"/>
            </w:tcBorders>
            <w:vAlign w:val="center"/>
            <w:hideMark/>
          </w:tcPr>
          <w:p w14:paraId="4FD8F2F9" w14:textId="77777777" w:rsidR="007C6D37" w:rsidRPr="002150BE" w:rsidRDefault="007C6D37" w:rsidP="007C6D37">
            <w:pPr>
              <w:spacing w:after="0" w:line="240" w:lineRule="auto"/>
              <w:rPr>
                <w:rFonts w:asciiTheme="minorHAnsi" w:hAnsiTheme="minorHAnsi" w:cstheme="minorHAnsi"/>
                <w:sz w:val="18"/>
                <w:lang w:eastAsia="es-MX"/>
              </w:rPr>
            </w:pPr>
          </w:p>
        </w:tc>
        <w:tc>
          <w:tcPr>
            <w:tcW w:w="0" w:type="auto"/>
            <w:tcBorders>
              <w:top w:val="nil"/>
              <w:left w:val="nil"/>
              <w:bottom w:val="nil"/>
              <w:right w:val="nil"/>
            </w:tcBorders>
            <w:vAlign w:val="center"/>
            <w:hideMark/>
          </w:tcPr>
          <w:p w14:paraId="50EE1472" w14:textId="77777777" w:rsidR="007C6D37" w:rsidRPr="002150BE" w:rsidRDefault="007C6D37" w:rsidP="007C6D37">
            <w:pPr>
              <w:spacing w:after="0" w:line="240" w:lineRule="auto"/>
              <w:rPr>
                <w:rFonts w:asciiTheme="minorHAnsi" w:hAnsiTheme="minorHAnsi" w:cstheme="minorHAnsi"/>
                <w:sz w:val="18"/>
                <w:lang w:eastAsia="es-MX"/>
              </w:rPr>
            </w:pPr>
          </w:p>
        </w:tc>
        <w:tc>
          <w:tcPr>
            <w:tcW w:w="0" w:type="auto"/>
            <w:tcBorders>
              <w:top w:val="nil"/>
              <w:left w:val="nil"/>
              <w:bottom w:val="nil"/>
              <w:right w:val="nil"/>
            </w:tcBorders>
            <w:vAlign w:val="center"/>
            <w:hideMark/>
          </w:tcPr>
          <w:p w14:paraId="58933905" w14:textId="77777777" w:rsidR="007C6D37" w:rsidRPr="002150BE" w:rsidRDefault="007C6D37" w:rsidP="007C6D37">
            <w:pPr>
              <w:spacing w:after="0" w:line="240" w:lineRule="auto"/>
              <w:rPr>
                <w:rFonts w:asciiTheme="minorHAnsi" w:hAnsiTheme="minorHAnsi" w:cstheme="minorHAnsi"/>
                <w:sz w:val="18"/>
                <w:lang w:eastAsia="es-MX"/>
              </w:rPr>
            </w:pPr>
          </w:p>
        </w:tc>
        <w:tc>
          <w:tcPr>
            <w:tcW w:w="0" w:type="auto"/>
            <w:tcBorders>
              <w:top w:val="nil"/>
              <w:left w:val="nil"/>
              <w:bottom w:val="nil"/>
              <w:right w:val="single" w:sz="4" w:space="0" w:color="BFBFBF" w:themeColor="background1" w:themeShade="BF"/>
            </w:tcBorders>
            <w:vAlign w:val="center"/>
            <w:hideMark/>
          </w:tcPr>
          <w:p w14:paraId="22FF6C54" w14:textId="77777777" w:rsidR="007C6D37" w:rsidRPr="002150BE" w:rsidRDefault="007C6D37" w:rsidP="007C6D37">
            <w:pPr>
              <w:spacing w:after="0" w:line="240" w:lineRule="auto"/>
              <w:rPr>
                <w:rFonts w:asciiTheme="minorHAnsi" w:hAnsiTheme="minorHAnsi" w:cstheme="minorHAnsi"/>
                <w:color w:val="262626"/>
                <w:sz w:val="18"/>
                <w:lang w:eastAsia="es-MX"/>
              </w:rPr>
            </w:pPr>
            <w:r w:rsidRPr="002150BE">
              <w:rPr>
                <w:rFonts w:asciiTheme="minorHAnsi" w:hAnsiTheme="minorHAnsi" w:cstheme="minorHAnsi"/>
                <w:color w:val="262626"/>
                <w:sz w:val="18"/>
                <w:lang w:eastAsia="es-MX"/>
              </w:rPr>
              <w:t> </w:t>
            </w:r>
          </w:p>
        </w:tc>
      </w:tr>
      <w:tr w:rsidR="00901755" w:rsidRPr="002150BE" w14:paraId="598B608F" w14:textId="77777777" w:rsidTr="00901755">
        <w:trPr>
          <w:trHeight w:val="581"/>
        </w:trPr>
        <w:tc>
          <w:tcPr>
            <w:tcW w:w="1378" w:type="dxa"/>
            <w:tcBorders>
              <w:top w:val="nil"/>
              <w:left w:val="single" w:sz="4" w:space="0" w:color="BFBFBF" w:themeColor="background1" w:themeShade="BF"/>
              <w:bottom w:val="nil"/>
              <w:right w:val="nil"/>
            </w:tcBorders>
            <w:noWrap/>
          </w:tcPr>
          <w:p w14:paraId="599F237B" w14:textId="77777777" w:rsidR="007C6D37" w:rsidRPr="002150BE" w:rsidRDefault="007C6D37" w:rsidP="007C6D37">
            <w:pPr>
              <w:spacing w:after="0" w:line="240" w:lineRule="auto"/>
              <w:jc w:val="center"/>
              <w:rPr>
                <w:rFonts w:asciiTheme="minorHAnsi" w:hAnsiTheme="minorHAnsi" w:cstheme="minorHAnsi"/>
                <w:b/>
                <w:color w:val="000000"/>
                <w:sz w:val="18"/>
                <w:lang w:eastAsia="es-MX"/>
              </w:rPr>
            </w:pPr>
          </w:p>
        </w:tc>
        <w:tc>
          <w:tcPr>
            <w:tcW w:w="1860" w:type="dxa"/>
            <w:tcBorders>
              <w:top w:val="nil"/>
              <w:left w:val="nil"/>
              <w:bottom w:val="nil"/>
              <w:right w:val="nil"/>
            </w:tcBorders>
          </w:tcPr>
          <w:p w14:paraId="4921152D" w14:textId="77777777" w:rsidR="007C6D37" w:rsidRPr="002150BE" w:rsidRDefault="007C6D37" w:rsidP="007C6D37">
            <w:pPr>
              <w:spacing w:after="0" w:line="240" w:lineRule="auto"/>
              <w:rPr>
                <w:rFonts w:asciiTheme="minorHAnsi" w:hAnsiTheme="minorHAnsi" w:cstheme="minorHAnsi"/>
                <w:color w:val="262626"/>
                <w:sz w:val="8"/>
                <w:lang w:eastAsia="es-MX"/>
              </w:rPr>
            </w:pPr>
          </w:p>
        </w:tc>
        <w:tc>
          <w:tcPr>
            <w:tcW w:w="0" w:type="auto"/>
            <w:tcBorders>
              <w:top w:val="nil"/>
              <w:left w:val="nil"/>
              <w:bottom w:val="nil"/>
              <w:right w:val="nil"/>
            </w:tcBorders>
            <w:vAlign w:val="center"/>
            <w:hideMark/>
          </w:tcPr>
          <w:p w14:paraId="153643FB" w14:textId="77777777" w:rsidR="007C6D37" w:rsidRPr="002150BE" w:rsidRDefault="007C6D37" w:rsidP="007C6D37">
            <w:pPr>
              <w:spacing w:after="0" w:line="240" w:lineRule="auto"/>
              <w:rPr>
                <w:rFonts w:asciiTheme="minorHAnsi" w:hAnsiTheme="minorHAnsi" w:cstheme="minorHAnsi"/>
                <w:color w:val="262626"/>
                <w:sz w:val="18"/>
                <w:lang w:eastAsia="es-MX"/>
              </w:rPr>
            </w:pPr>
          </w:p>
        </w:tc>
        <w:tc>
          <w:tcPr>
            <w:tcW w:w="0" w:type="auto"/>
            <w:tcBorders>
              <w:top w:val="nil"/>
              <w:left w:val="nil"/>
              <w:bottom w:val="nil"/>
              <w:right w:val="nil"/>
            </w:tcBorders>
            <w:vAlign w:val="center"/>
            <w:hideMark/>
          </w:tcPr>
          <w:p w14:paraId="5DDAA57C" w14:textId="25005C46" w:rsidR="007C6D37" w:rsidRPr="002150BE" w:rsidRDefault="007C6D37" w:rsidP="007C6D37">
            <w:pPr>
              <w:spacing w:after="0" w:line="240" w:lineRule="auto"/>
              <w:rPr>
                <w:rFonts w:asciiTheme="minorHAnsi" w:hAnsiTheme="minorHAnsi" w:cstheme="minorHAnsi"/>
                <w:sz w:val="18"/>
                <w:lang w:eastAsia="es-MX"/>
              </w:rPr>
            </w:pPr>
          </w:p>
        </w:tc>
        <w:tc>
          <w:tcPr>
            <w:tcW w:w="0" w:type="auto"/>
            <w:tcBorders>
              <w:top w:val="nil"/>
              <w:left w:val="nil"/>
              <w:bottom w:val="nil"/>
              <w:right w:val="nil"/>
            </w:tcBorders>
            <w:vAlign w:val="center"/>
            <w:hideMark/>
          </w:tcPr>
          <w:p w14:paraId="280B73D2" w14:textId="77777777" w:rsidR="007C6D37" w:rsidRPr="002150BE" w:rsidRDefault="007C6D37" w:rsidP="007C6D37">
            <w:pPr>
              <w:spacing w:after="0" w:line="240" w:lineRule="auto"/>
              <w:rPr>
                <w:rFonts w:asciiTheme="minorHAnsi" w:hAnsiTheme="minorHAnsi" w:cstheme="minorHAnsi"/>
                <w:sz w:val="18"/>
                <w:lang w:eastAsia="es-MX"/>
              </w:rPr>
            </w:pPr>
          </w:p>
        </w:tc>
        <w:tc>
          <w:tcPr>
            <w:tcW w:w="0" w:type="auto"/>
            <w:tcBorders>
              <w:top w:val="nil"/>
              <w:left w:val="nil"/>
              <w:bottom w:val="nil"/>
              <w:right w:val="nil"/>
            </w:tcBorders>
            <w:vAlign w:val="center"/>
            <w:hideMark/>
          </w:tcPr>
          <w:p w14:paraId="5A66F6BC" w14:textId="33F51AE9" w:rsidR="007C6D37" w:rsidRPr="002150BE" w:rsidRDefault="007C6D37" w:rsidP="007C6D37">
            <w:pPr>
              <w:spacing w:after="0" w:line="240" w:lineRule="auto"/>
              <w:rPr>
                <w:rFonts w:asciiTheme="minorHAnsi" w:hAnsiTheme="minorHAnsi" w:cstheme="minorHAnsi"/>
                <w:sz w:val="18"/>
                <w:lang w:eastAsia="es-MX"/>
              </w:rPr>
            </w:pPr>
          </w:p>
        </w:tc>
        <w:tc>
          <w:tcPr>
            <w:tcW w:w="2269" w:type="dxa"/>
            <w:tcBorders>
              <w:top w:val="nil"/>
              <w:left w:val="nil"/>
              <w:bottom w:val="nil"/>
              <w:right w:val="nil"/>
            </w:tcBorders>
            <w:vAlign w:val="center"/>
            <w:hideMark/>
          </w:tcPr>
          <w:p w14:paraId="3B147405" w14:textId="6F89647F" w:rsidR="007C6D37" w:rsidRPr="002150BE" w:rsidRDefault="007C6D37" w:rsidP="007C6D37">
            <w:pPr>
              <w:spacing w:after="0" w:line="240" w:lineRule="auto"/>
              <w:rPr>
                <w:rFonts w:asciiTheme="minorHAnsi" w:hAnsiTheme="minorHAnsi" w:cstheme="minorHAnsi"/>
                <w:sz w:val="18"/>
                <w:lang w:eastAsia="es-MX"/>
              </w:rPr>
            </w:pPr>
          </w:p>
        </w:tc>
        <w:tc>
          <w:tcPr>
            <w:tcW w:w="2109" w:type="dxa"/>
            <w:tcBorders>
              <w:top w:val="nil"/>
              <w:left w:val="nil"/>
              <w:bottom w:val="nil"/>
              <w:right w:val="nil"/>
            </w:tcBorders>
            <w:vAlign w:val="center"/>
            <w:hideMark/>
          </w:tcPr>
          <w:p w14:paraId="1AB3C8F9" w14:textId="77777777" w:rsidR="007C6D37" w:rsidRPr="002150BE" w:rsidRDefault="007C6D37" w:rsidP="007C6D37">
            <w:pPr>
              <w:spacing w:after="0" w:line="240" w:lineRule="auto"/>
              <w:rPr>
                <w:rFonts w:asciiTheme="minorHAnsi" w:hAnsiTheme="minorHAnsi" w:cstheme="minorHAnsi"/>
                <w:sz w:val="18"/>
                <w:lang w:eastAsia="es-MX"/>
              </w:rPr>
            </w:pPr>
          </w:p>
        </w:tc>
        <w:tc>
          <w:tcPr>
            <w:tcW w:w="0" w:type="auto"/>
            <w:tcBorders>
              <w:top w:val="nil"/>
              <w:left w:val="nil"/>
              <w:bottom w:val="nil"/>
              <w:right w:val="nil"/>
            </w:tcBorders>
            <w:vAlign w:val="center"/>
            <w:hideMark/>
          </w:tcPr>
          <w:p w14:paraId="7E31B42C" w14:textId="77777777" w:rsidR="007C6D37" w:rsidRPr="002150BE" w:rsidRDefault="007C6D37" w:rsidP="007C6D37">
            <w:pPr>
              <w:spacing w:after="0" w:line="240" w:lineRule="auto"/>
              <w:rPr>
                <w:rFonts w:asciiTheme="minorHAnsi" w:hAnsiTheme="minorHAnsi" w:cstheme="minorHAnsi"/>
                <w:sz w:val="18"/>
                <w:lang w:eastAsia="es-MX"/>
              </w:rPr>
            </w:pPr>
          </w:p>
        </w:tc>
        <w:tc>
          <w:tcPr>
            <w:tcW w:w="0" w:type="auto"/>
            <w:tcBorders>
              <w:top w:val="nil"/>
              <w:left w:val="nil"/>
              <w:bottom w:val="nil"/>
              <w:right w:val="nil"/>
            </w:tcBorders>
            <w:vAlign w:val="center"/>
            <w:hideMark/>
          </w:tcPr>
          <w:p w14:paraId="53D9F345" w14:textId="77777777" w:rsidR="007C6D37" w:rsidRPr="002150BE" w:rsidRDefault="007C6D37" w:rsidP="007C6D37">
            <w:pPr>
              <w:spacing w:after="0" w:line="240" w:lineRule="auto"/>
              <w:rPr>
                <w:rFonts w:asciiTheme="minorHAnsi" w:hAnsiTheme="minorHAnsi" w:cstheme="minorHAnsi"/>
                <w:sz w:val="18"/>
                <w:lang w:eastAsia="es-MX"/>
              </w:rPr>
            </w:pPr>
          </w:p>
        </w:tc>
        <w:tc>
          <w:tcPr>
            <w:tcW w:w="0" w:type="auto"/>
            <w:tcBorders>
              <w:top w:val="nil"/>
              <w:left w:val="nil"/>
              <w:bottom w:val="nil"/>
              <w:right w:val="nil"/>
            </w:tcBorders>
            <w:vAlign w:val="center"/>
            <w:hideMark/>
          </w:tcPr>
          <w:p w14:paraId="6B567E7F" w14:textId="77777777" w:rsidR="007C6D37" w:rsidRPr="002150BE" w:rsidRDefault="007C6D37" w:rsidP="007C6D37">
            <w:pPr>
              <w:spacing w:after="0" w:line="240" w:lineRule="auto"/>
              <w:rPr>
                <w:rFonts w:asciiTheme="minorHAnsi" w:hAnsiTheme="minorHAnsi" w:cstheme="minorHAnsi"/>
                <w:sz w:val="18"/>
                <w:lang w:eastAsia="es-MX"/>
              </w:rPr>
            </w:pPr>
          </w:p>
        </w:tc>
        <w:tc>
          <w:tcPr>
            <w:tcW w:w="0" w:type="auto"/>
            <w:tcBorders>
              <w:top w:val="nil"/>
              <w:left w:val="nil"/>
              <w:bottom w:val="nil"/>
              <w:right w:val="single" w:sz="4" w:space="0" w:color="BFBFBF" w:themeColor="background1" w:themeShade="BF"/>
            </w:tcBorders>
            <w:vAlign w:val="center"/>
            <w:hideMark/>
          </w:tcPr>
          <w:p w14:paraId="703FC592" w14:textId="77777777" w:rsidR="007C6D37" w:rsidRPr="002150BE" w:rsidRDefault="007C6D37" w:rsidP="007C6D37">
            <w:pPr>
              <w:spacing w:after="0" w:line="240" w:lineRule="auto"/>
              <w:rPr>
                <w:rFonts w:asciiTheme="minorHAnsi" w:hAnsiTheme="minorHAnsi" w:cstheme="minorHAnsi"/>
                <w:color w:val="262626"/>
                <w:sz w:val="18"/>
                <w:lang w:eastAsia="es-MX"/>
              </w:rPr>
            </w:pPr>
            <w:r w:rsidRPr="002150BE">
              <w:rPr>
                <w:rFonts w:asciiTheme="minorHAnsi" w:hAnsiTheme="minorHAnsi" w:cstheme="minorHAnsi"/>
                <w:color w:val="262626"/>
                <w:sz w:val="18"/>
                <w:lang w:eastAsia="es-MX"/>
              </w:rPr>
              <w:t> </w:t>
            </w:r>
          </w:p>
        </w:tc>
      </w:tr>
      <w:tr w:rsidR="00901755" w:rsidRPr="002150BE" w14:paraId="0B78223A" w14:textId="77777777" w:rsidTr="00901755">
        <w:trPr>
          <w:trHeight w:val="856"/>
        </w:trPr>
        <w:tc>
          <w:tcPr>
            <w:tcW w:w="1378" w:type="dxa"/>
            <w:tcBorders>
              <w:top w:val="nil"/>
              <w:left w:val="single" w:sz="4" w:space="0" w:color="BFBFBF" w:themeColor="background1" w:themeShade="BF"/>
              <w:bottom w:val="nil"/>
              <w:right w:val="nil"/>
            </w:tcBorders>
            <w:noWrap/>
          </w:tcPr>
          <w:p w14:paraId="530424CA" w14:textId="77777777" w:rsidR="007C6D37" w:rsidRPr="002150BE" w:rsidRDefault="007C6D37" w:rsidP="007C6D37">
            <w:pPr>
              <w:spacing w:after="0" w:line="240" w:lineRule="auto"/>
              <w:jc w:val="center"/>
              <w:rPr>
                <w:rFonts w:asciiTheme="minorHAnsi" w:hAnsiTheme="minorHAnsi" w:cstheme="minorHAnsi"/>
                <w:b/>
                <w:color w:val="000000"/>
                <w:sz w:val="18"/>
                <w:lang w:eastAsia="es-MX"/>
              </w:rPr>
            </w:pPr>
          </w:p>
        </w:tc>
        <w:tc>
          <w:tcPr>
            <w:tcW w:w="1860" w:type="dxa"/>
            <w:tcBorders>
              <w:top w:val="nil"/>
              <w:left w:val="nil"/>
              <w:bottom w:val="nil"/>
              <w:right w:val="nil"/>
            </w:tcBorders>
          </w:tcPr>
          <w:p w14:paraId="6104473A" w14:textId="3643A331" w:rsidR="007C6D37" w:rsidRPr="002150BE" w:rsidRDefault="007C6D37" w:rsidP="007C6D37">
            <w:pPr>
              <w:spacing w:after="0" w:line="240" w:lineRule="auto"/>
              <w:rPr>
                <w:rFonts w:asciiTheme="minorHAnsi" w:hAnsiTheme="minorHAnsi" w:cstheme="minorHAnsi"/>
                <w:color w:val="262626"/>
                <w:sz w:val="8"/>
                <w:lang w:eastAsia="es-MX"/>
              </w:rPr>
            </w:pPr>
          </w:p>
        </w:tc>
        <w:tc>
          <w:tcPr>
            <w:tcW w:w="0" w:type="auto"/>
            <w:tcBorders>
              <w:top w:val="nil"/>
              <w:left w:val="nil"/>
              <w:bottom w:val="nil"/>
              <w:right w:val="nil"/>
            </w:tcBorders>
            <w:vAlign w:val="center"/>
            <w:hideMark/>
          </w:tcPr>
          <w:p w14:paraId="7C2D60D8" w14:textId="77777777" w:rsidR="007C6D37" w:rsidRPr="002150BE" w:rsidRDefault="007C6D37" w:rsidP="007C6D37">
            <w:pPr>
              <w:spacing w:after="0" w:line="240" w:lineRule="auto"/>
              <w:rPr>
                <w:rFonts w:asciiTheme="minorHAnsi" w:hAnsiTheme="minorHAnsi" w:cstheme="minorHAnsi"/>
                <w:color w:val="262626"/>
                <w:sz w:val="18"/>
                <w:lang w:eastAsia="es-MX"/>
              </w:rPr>
            </w:pPr>
          </w:p>
        </w:tc>
        <w:tc>
          <w:tcPr>
            <w:tcW w:w="0" w:type="auto"/>
            <w:tcBorders>
              <w:top w:val="nil"/>
              <w:left w:val="nil"/>
              <w:bottom w:val="nil"/>
              <w:right w:val="nil"/>
            </w:tcBorders>
            <w:vAlign w:val="center"/>
            <w:hideMark/>
          </w:tcPr>
          <w:p w14:paraId="73E94A6F" w14:textId="743F3E1D" w:rsidR="007C6D37" w:rsidRPr="002150BE" w:rsidRDefault="007C6D37" w:rsidP="007C6D37">
            <w:pPr>
              <w:spacing w:after="0" w:line="240" w:lineRule="auto"/>
              <w:rPr>
                <w:rFonts w:asciiTheme="minorHAnsi" w:hAnsiTheme="minorHAnsi" w:cstheme="minorHAnsi"/>
                <w:sz w:val="18"/>
                <w:lang w:eastAsia="es-MX"/>
              </w:rPr>
            </w:pPr>
          </w:p>
        </w:tc>
        <w:tc>
          <w:tcPr>
            <w:tcW w:w="0" w:type="auto"/>
            <w:tcBorders>
              <w:top w:val="nil"/>
              <w:left w:val="nil"/>
              <w:bottom w:val="nil"/>
              <w:right w:val="nil"/>
            </w:tcBorders>
            <w:vAlign w:val="center"/>
            <w:hideMark/>
          </w:tcPr>
          <w:p w14:paraId="57D969DA" w14:textId="77777777" w:rsidR="007C6D37" w:rsidRPr="002150BE" w:rsidRDefault="007C6D37" w:rsidP="007C6D37">
            <w:pPr>
              <w:spacing w:after="0" w:line="240" w:lineRule="auto"/>
              <w:rPr>
                <w:rFonts w:asciiTheme="minorHAnsi" w:hAnsiTheme="minorHAnsi" w:cstheme="minorHAnsi"/>
                <w:sz w:val="18"/>
                <w:lang w:eastAsia="es-MX"/>
              </w:rPr>
            </w:pPr>
          </w:p>
        </w:tc>
        <w:tc>
          <w:tcPr>
            <w:tcW w:w="0" w:type="auto"/>
            <w:tcBorders>
              <w:top w:val="nil"/>
              <w:left w:val="nil"/>
              <w:bottom w:val="nil"/>
              <w:right w:val="nil"/>
            </w:tcBorders>
            <w:vAlign w:val="center"/>
            <w:hideMark/>
          </w:tcPr>
          <w:p w14:paraId="4ABEAED4" w14:textId="77777777" w:rsidR="007C6D37" w:rsidRPr="002150BE" w:rsidRDefault="007C6D37" w:rsidP="007C6D37">
            <w:pPr>
              <w:spacing w:after="0" w:line="240" w:lineRule="auto"/>
              <w:rPr>
                <w:rFonts w:asciiTheme="minorHAnsi" w:hAnsiTheme="minorHAnsi" w:cstheme="minorHAnsi"/>
                <w:sz w:val="18"/>
                <w:lang w:eastAsia="es-MX"/>
              </w:rPr>
            </w:pPr>
          </w:p>
        </w:tc>
        <w:tc>
          <w:tcPr>
            <w:tcW w:w="2269" w:type="dxa"/>
            <w:tcBorders>
              <w:top w:val="nil"/>
              <w:left w:val="nil"/>
              <w:bottom w:val="nil"/>
              <w:right w:val="nil"/>
            </w:tcBorders>
            <w:vAlign w:val="center"/>
            <w:hideMark/>
          </w:tcPr>
          <w:p w14:paraId="1045E4AB" w14:textId="304E56A1" w:rsidR="007C6D37" w:rsidRPr="002150BE" w:rsidRDefault="007C6D37" w:rsidP="007C6D37">
            <w:pPr>
              <w:spacing w:after="0" w:line="240" w:lineRule="auto"/>
              <w:rPr>
                <w:rFonts w:asciiTheme="minorHAnsi" w:hAnsiTheme="minorHAnsi" w:cstheme="minorHAnsi"/>
                <w:sz w:val="18"/>
                <w:lang w:eastAsia="es-MX"/>
              </w:rPr>
            </w:pPr>
          </w:p>
        </w:tc>
        <w:tc>
          <w:tcPr>
            <w:tcW w:w="2109" w:type="dxa"/>
            <w:tcBorders>
              <w:top w:val="nil"/>
              <w:left w:val="nil"/>
              <w:bottom w:val="nil"/>
              <w:right w:val="nil"/>
            </w:tcBorders>
            <w:vAlign w:val="center"/>
            <w:hideMark/>
          </w:tcPr>
          <w:p w14:paraId="64622BF1" w14:textId="2420BBF5" w:rsidR="007C6D37" w:rsidRPr="002150BE" w:rsidRDefault="007C6D37" w:rsidP="007C6D37">
            <w:pPr>
              <w:spacing w:after="0" w:line="240" w:lineRule="auto"/>
              <w:rPr>
                <w:rFonts w:asciiTheme="minorHAnsi" w:hAnsiTheme="minorHAnsi" w:cstheme="minorHAnsi"/>
                <w:sz w:val="18"/>
                <w:lang w:eastAsia="es-MX"/>
              </w:rPr>
            </w:pPr>
          </w:p>
        </w:tc>
        <w:tc>
          <w:tcPr>
            <w:tcW w:w="0" w:type="auto"/>
            <w:tcBorders>
              <w:top w:val="nil"/>
              <w:left w:val="nil"/>
              <w:bottom w:val="nil"/>
              <w:right w:val="nil"/>
            </w:tcBorders>
            <w:vAlign w:val="center"/>
            <w:hideMark/>
          </w:tcPr>
          <w:p w14:paraId="253CA2C1" w14:textId="77777777" w:rsidR="007C6D37" w:rsidRPr="002150BE" w:rsidRDefault="007C6D37" w:rsidP="007C6D37">
            <w:pPr>
              <w:spacing w:after="0" w:line="240" w:lineRule="auto"/>
              <w:rPr>
                <w:rFonts w:asciiTheme="minorHAnsi" w:hAnsiTheme="minorHAnsi" w:cstheme="minorHAnsi"/>
                <w:sz w:val="18"/>
                <w:lang w:eastAsia="es-MX"/>
              </w:rPr>
            </w:pPr>
          </w:p>
        </w:tc>
        <w:tc>
          <w:tcPr>
            <w:tcW w:w="0" w:type="auto"/>
            <w:tcBorders>
              <w:top w:val="nil"/>
              <w:left w:val="nil"/>
              <w:bottom w:val="nil"/>
              <w:right w:val="nil"/>
            </w:tcBorders>
            <w:vAlign w:val="center"/>
            <w:hideMark/>
          </w:tcPr>
          <w:p w14:paraId="223C96AA" w14:textId="77777777" w:rsidR="007C6D37" w:rsidRPr="002150BE" w:rsidRDefault="007C6D37" w:rsidP="007C6D37">
            <w:pPr>
              <w:spacing w:after="0" w:line="240" w:lineRule="auto"/>
              <w:rPr>
                <w:rFonts w:asciiTheme="minorHAnsi" w:hAnsiTheme="minorHAnsi" w:cstheme="minorHAnsi"/>
                <w:sz w:val="18"/>
                <w:lang w:eastAsia="es-MX"/>
              </w:rPr>
            </w:pPr>
          </w:p>
        </w:tc>
        <w:tc>
          <w:tcPr>
            <w:tcW w:w="0" w:type="auto"/>
            <w:tcBorders>
              <w:top w:val="nil"/>
              <w:left w:val="nil"/>
              <w:bottom w:val="nil"/>
              <w:right w:val="nil"/>
            </w:tcBorders>
            <w:vAlign w:val="center"/>
            <w:hideMark/>
          </w:tcPr>
          <w:p w14:paraId="096CB55A" w14:textId="77777777" w:rsidR="007C6D37" w:rsidRPr="002150BE" w:rsidRDefault="007C6D37" w:rsidP="007C6D37">
            <w:pPr>
              <w:spacing w:after="0" w:line="240" w:lineRule="auto"/>
              <w:rPr>
                <w:rFonts w:asciiTheme="minorHAnsi" w:hAnsiTheme="minorHAnsi" w:cstheme="minorHAnsi"/>
                <w:sz w:val="18"/>
                <w:lang w:eastAsia="es-MX"/>
              </w:rPr>
            </w:pPr>
          </w:p>
        </w:tc>
        <w:tc>
          <w:tcPr>
            <w:tcW w:w="0" w:type="auto"/>
            <w:tcBorders>
              <w:top w:val="nil"/>
              <w:left w:val="nil"/>
              <w:bottom w:val="nil"/>
              <w:right w:val="single" w:sz="4" w:space="0" w:color="BFBFBF" w:themeColor="background1" w:themeShade="BF"/>
            </w:tcBorders>
            <w:vAlign w:val="center"/>
            <w:hideMark/>
          </w:tcPr>
          <w:p w14:paraId="2A75FD03" w14:textId="77777777" w:rsidR="007C6D37" w:rsidRPr="002150BE" w:rsidRDefault="007C6D37" w:rsidP="007C6D37">
            <w:pPr>
              <w:spacing w:after="0" w:line="240" w:lineRule="auto"/>
              <w:rPr>
                <w:rFonts w:asciiTheme="minorHAnsi" w:hAnsiTheme="minorHAnsi" w:cstheme="minorHAnsi"/>
                <w:color w:val="262626"/>
                <w:sz w:val="18"/>
                <w:lang w:eastAsia="es-MX"/>
              </w:rPr>
            </w:pPr>
            <w:r w:rsidRPr="002150BE">
              <w:rPr>
                <w:rFonts w:asciiTheme="minorHAnsi" w:hAnsiTheme="minorHAnsi" w:cstheme="minorHAnsi"/>
                <w:color w:val="262626"/>
                <w:sz w:val="18"/>
                <w:lang w:eastAsia="es-MX"/>
              </w:rPr>
              <w:t> </w:t>
            </w:r>
          </w:p>
        </w:tc>
      </w:tr>
      <w:tr w:rsidR="00901755" w:rsidRPr="002150BE" w14:paraId="1D69A907" w14:textId="77777777" w:rsidTr="00901755">
        <w:trPr>
          <w:trHeight w:val="300"/>
        </w:trPr>
        <w:tc>
          <w:tcPr>
            <w:tcW w:w="1378" w:type="dxa"/>
            <w:tcBorders>
              <w:top w:val="nil"/>
              <w:left w:val="single" w:sz="4" w:space="0" w:color="BFBFBF" w:themeColor="background1" w:themeShade="BF"/>
              <w:bottom w:val="nil"/>
              <w:right w:val="nil"/>
            </w:tcBorders>
            <w:noWrap/>
          </w:tcPr>
          <w:p w14:paraId="1AC5BF26" w14:textId="77777777" w:rsidR="007C6D37" w:rsidRPr="002150BE" w:rsidRDefault="007C6D37" w:rsidP="007C6D37">
            <w:pPr>
              <w:spacing w:after="0" w:line="240" w:lineRule="auto"/>
              <w:jc w:val="center"/>
              <w:rPr>
                <w:rFonts w:asciiTheme="minorHAnsi" w:hAnsiTheme="minorHAnsi" w:cstheme="minorHAnsi"/>
                <w:b/>
                <w:color w:val="000000"/>
                <w:sz w:val="18"/>
                <w:lang w:eastAsia="es-MX"/>
              </w:rPr>
            </w:pPr>
          </w:p>
        </w:tc>
        <w:tc>
          <w:tcPr>
            <w:tcW w:w="1860" w:type="dxa"/>
            <w:tcBorders>
              <w:top w:val="nil"/>
              <w:left w:val="nil"/>
              <w:bottom w:val="nil"/>
              <w:right w:val="nil"/>
            </w:tcBorders>
          </w:tcPr>
          <w:p w14:paraId="2F42D17F" w14:textId="77777777" w:rsidR="007C6D37" w:rsidRPr="002150BE" w:rsidRDefault="007C6D37" w:rsidP="007C6D37">
            <w:pPr>
              <w:spacing w:after="0" w:line="240" w:lineRule="auto"/>
              <w:rPr>
                <w:rFonts w:asciiTheme="minorHAnsi" w:hAnsiTheme="minorHAnsi" w:cstheme="minorHAnsi"/>
                <w:color w:val="262626"/>
                <w:sz w:val="8"/>
                <w:lang w:eastAsia="es-MX"/>
              </w:rPr>
            </w:pPr>
          </w:p>
          <w:p w14:paraId="316BD3EC"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10ADD5F6"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77F5EDF2"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30B643DE"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5B56654D"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1C792A05"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6F4DBCA2"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144A833F"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0999CD0D"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6C5C11EF"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2328F018"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748F7C57"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3FA21B94"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4908CDEA"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71D058FB"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60F28041"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522F2D2E"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76E5294E"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506E8F3E"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3C7A2BBE"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35ECF948"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5F241027"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058C8F93"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7C6CA0FD"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6E68F8A7"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4C180A7D"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515745EF"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1C22CA94"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7DC240B1"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2038B798"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3AE80E46"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737854EA"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6A5E8BC4"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4824DAA9"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48E553EB"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20D14600"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1777297F"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517FA927"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298929F7"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0E1BB8AF"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5888BDC8"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10E581F1"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4FB6BDB0"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3097D930"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4C73CE85"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11C6941E"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0A2D0789"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7C86D4EE"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5BA39736"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2DECCA0F"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70107A50"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4331393C"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526D9B79"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51F24148"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55BF3634"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238F5AEF"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4DA047D5"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18F09B63"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6185D2BF"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65F2C28D"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2D1E7AE8"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055DEE67"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7F8F89E8"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40AA74BB"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664CEFB1"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30943743"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4118D6A3"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70EF0820"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1D179675"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2CF3D076" w14:textId="77777777" w:rsidR="005E6511" w:rsidRPr="002150BE" w:rsidRDefault="005E6511" w:rsidP="007C6D37">
            <w:pPr>
              <w:spacing w:after="0" w:line="240" w:lineRule="auto"/>
              <w:rPr>
                <w:rFonts w:asciiTheme="minorHAnsi" w:hAnsiTheme="minorHAnsi" w:cstheme="minorHAnsi"/>
                <w:color w:val="262626"/>
                <w:sz w:val="8"/>
                <w:lang w:eastAsia="es-MX"/>
              </w:rPr>
            </w:pPr>
          </w:p>
          <w:p w14:paraId="2090FD0F" w14:textId="77777777" w:rsidR="005E6511" w:rsidRPr="002150BE" w:rsidRDefault="005E6511" w:rsidP="007C6D37">
            <w:pPr>
              <w:spacing w:after="0" w:line="240" w:lineRule="auto"/>
              <w:rPr>
                <w:rFonts w:asciiTheme="minorHAnsi" w:hAnsiTheme="minorHAnsi" w:cstheme="minorHAnsi"/>
                <w:color w:val="262626"/>
                <w:sz w:val="8"/>
                <w:lang w:eastAsia="es-MX"/>
              </w:rPr>
            </w:pPr>
          </w:p>
        </w:tc>
        <w:tc>
          <w:tcPr>
            <w:tcW w:w="0" w:type="auto"/>
            <w:tcBorders>
              <w:top w:val="nil"/>
              <w:left w:val="nil"/>
              <w:bottom w:val="nil"/>
              <w:right w:val="nil"/>
            </w:tcBorders>
            <w:vAlign w:val="center"/>
            <w:hideMark/>
          </w:tcPr>
          <w:p w14:paraId="7548F925" w14:textId="3FCDAF9B" w:rsidR="007C6D37" w:rsidRPr="002150BE" w:rsidRDefault="007C6D37" w:rsidP="007C6D37">
            <w:pPr>
              <w:spacing w:after="0" w:line="240" w:lineRule="auto"/>
              <w:rPr>
                <w:rFonts w:asciiTheme="minorHAnsi" w:hAnsiTheme="minorHAnsi" w:cstheme="minorHAnsi"/>
                <w:color w:val="262626"/>
                <w:sz w:val="18"/>
                <w:lang w:eastAsia="es-MX"/>
              </w:rPr>
            </w:pPr>
          </w:p>
        </w:tc>
        <w:tc>
          <w:tcPr>
            <w:tcW w:w="0" w:type="auto"/>
            <w:tcBorders>
              <w:top w:val="nil"/>
              <w:left w:val="nil"/>
              <w:bottom w:val="nil"/>
              <w:right w:val="nil"/>
            </w:tcBorders>
            <w:vAlign w:val="center"/>
            <w:hideMark/>
          </w:tcPr>
          <w:p w14:paraId="0B8AF256" w14:textId="268AF474" w:rsidR="007C6D37" w:rsidRPr="002150BE" w:rsidRDefault="007C6D37" w:rsidP="007C6D37">
            <w:pPr>
              <w:spacing w:after="0" w:line="240" w:lineRule="auto"/>
              <w:rPr>
                <w:rFonts w:asciiTheme="minorHAnsi" w:hAnsiTheme="minorHAnsi" w:cstheme="minorHAnsi"/>
                <w:sz w:val="18"/>
                <w:lang w:eastAsia="es-MX"/>
              </w:rPr>
            </w:pPr>
          </w:p>
        </w:tc>
        <w:tc>
          <w:tcPr>
            <w:tcW w:w="0" w:type="auto"/>
            <w:tcBorders>
              <w:top w:val="nil"/>
              <w:left w:val="nil"/>
              <w:bottom w:val="nil"/>
              <w:right w:val="nil"/>
            </w:tcBorders>
            <w:vAlign w:val="center"/>
            <w:hideMark/>
          </w:tcPr>
          <w:p w14:paraId="6C7F8450" w14:textId="276BFCEE" w:rsidR="007C6D37" w:rsidRPr="002150BE" w:rsidRDefault="007C6D37" w:rsidP="007C6D37">
            <w:pPr>
              <w:spacing w:after="0" w:line="240" w:lineRule="auto"/>
              <w:rPr>
                <w:rFonts w:asciiTheme="minorHAnsi" w:hAnsiTheme="minorHAnsi" w:cstheme="minorHAnsi"/>
                <w:sz w:val="18"/>
                <w:lang w:eastAsia="es-MX"/>
              </w:rPr>
            </w:pPr>
          </w:p>
        </w:tc>
        <w:tc>
          <w:tcPr>
            <w:tcW w:w="0" w:type="auto"/>
            <w:tcBorders>
              <w:top w:val="nil"/>
              <w:left w:val="nil"/>
              <w:bottom w:val="nil"/>
              <w:right w:val="nil"/>
            </w:tcBorders>
            <w:vAlign w:val="center"/>
            <w:hideMark/>
          </w:tcPr>
          <w:p w14:paraId="7303DE4E" w14:textId="20998508" w:rsidR="007C6D37" w:rsidRPr="002150BE" w:rsidRDefault="007C6D37" w:rsidP="007C6D37">
            <w:pPr>
              <w:spacing w:after="0" w:line="240" w:lineRule="auto"/>
              <w:rPr>
                <w:rFonts w:asciiTheme="minorHAnsi" w:hAnsiTheme="minorHAnsi" w:cstheme="minorHAnsi"/>
                <w:sz w:val="18"/>
                <w:lang w:eastAsia="es-MX"/>
              </w:rPr>
            </w:pPr>
          </w:p>
        </w:tc>
        <w:tc>
          <w:tcPr>
            <w:tcW w:w="2269" w:type="dxa"/>
            <w:tcBorders>
              <w:top w:val="nil"/>
              <w:left w:val="nil"/>
              <w:bottom w:val="nil"/>
              <w:right w:val="nil"/>
            </w:tcBorders>
            <w:vAlign w:val="center"/>
            <w:hideMark/>
          </w:tcPr>
          <w:p w14:paraId="7674503E" w14:textId="16D76014" w:rsidR="000B2089" w:rsidRPr="002150BE" w:rsidRDefault="000B2089" w:rsidP="000B2089">
            <w:pPr>
              <w:spacing w:after="0" w:line="240" w:lineRule="auto"/>
              <w:rPr>
                <w:rFonts w:asciiTheme="minorHAnsi" w:hAnsiTheme="minorHAnsi" w:cstheme="minorHAnsi"/>
                <w:sz w:val="18"/>
                <w:lang w:eastAsia="es-MX"/>
              </w:rPr>
            </w:pPr>
            <w:r w:rsidRPr="002150BE">
              <w:rPr>
                <w:rFonts w:asciiTheme="minorHAnsi" w:hAnsiTheme="minorHAnsi" w:cstheme="minorHAnsi"/>
                <w:b/>
                <w:noProof/>
                <w:sz w:val="18"/>
                <w:lang w:eastAsia="es-MX"/>
              </w:rPr>
              <w:drawing>
                <wp:anchor distT="0" distB="0" distL="114300" distR="114300" simplePos="0" relativeHeight="251757056" behindDoc="1" locked="0" layoutInCell="1" allowOverlap="1" wp14:anchorId="1EB0A207" wp14:editId="10ED81D3">
                  <wp:simplePos x="0" y="0"/>
                  <wp:positionH relativeFrom="column">
                    <wp:posOffset>448310</wp:posOffset>
                  </wp:positionH>
                  <wp:positionV relativeFrom="paragraph">
                    <wp:posOffset>-2091055</wp:posOffset>
                  </wp:positionV>
                  <wp:extent cx="2689860" cy="7155180"/>
                  <wp:effectExtent l="0" t="0" r="0" b="762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89860" cy="7155180"/>
                          </a:xfrm>
                          <a:prstGeom prst="rect">
                            <a:avLst/>
                          </a:prstGeom>
                          <a:noFill/>
                        </pic:spPr>
                      </pic:pic>
                    </a:graphicData>
                  </a:graphic>
                  <wp14:sizeRelH relativeFrom="margin">
                    <wp14:pctWidth>0</wp14:pctWidth>
                  </wp14:sizeRelH>
                  <wp14:sizeRelV relativeFrom="margin">
                    <wp14:pctHeight>0</wp14:pctHeight>
                  </wp14:sizeRelV>
                </wp:anchor>
              </w:drawing>
            </w:r>
          </w:p>
        </w:tc>
        <w:tc>
          <w:tcPr>
            <w:tcW w:w="2109" w:type="dxa"/>
            <w:tcBorders>
              <w:top w:val="nil"/>
              <w:left w:val="nil"/>
              <w:bottom w:val="nil"/>
              <w:right w:val="nil"/>
            </w:tcBorders>
            <w:vAlign w:val="center"/>
            <w:hideMark/>
          </w:tcPr>
          <w:p w14:paraId="673748BE" w14:textId="0FB305CD" w:rsidR="007C6D37" w:rsidRPr="002150BE" w:rsidRDefault="007C6D37" w:rsidP="007C6D37">
            <w:pPr>
              <w:spacing w:after="0" w:line="240" w:lineRule="auto"/>
              <w:rPr>
                <w:rFonts w:asciiTheme="minorHAnsi" w:hAnsiTheme="minorHAnsi" w:cstheme="minorHAnsi"/>
                <w:sz w:val="18"/>
                <w:lang w:eastAsia="es-MX"/>
              </w:rPr>
            </w:pPr>
          </w:p>
        </w:tc>
        <w:tc>
          <w:tcPr>
            <w:tcW w:w="0" w:type="auto"/>
            <w:tcBorders>
              <w:top w:val="nil"/>
              <w:left w:val="nil"/>
              <w:bottom w:val="nil"/>
              <w:right w:val="nil"/>
            </w:tcBorders>
            <w:vAlign w:val="center"/>
            <w:hideMark/>
          </w:tcPr>
          <w:p w14:paraId="4EEE825B" w14:textId="77777777" w:rsidR="007C6D37" w:rsidRPr="002150BE" w:rsidRDefault="007C6D37" w:rsidP="007C6D37">
            <w:pPr>
              <w:spacing w:after="0" w:line="240" w:lineRule="auto"/>
              <w:rPr>
                <w:rFonts w:asciiTheme="minorHAnsi" w:hAnsiTheme="minorHAnsi" w:cstheme="minorHAnsi"/>
                <w:sz w:val="18"/>
                <w:lang w:eastAsia="es-MX"/>
              </w:rPr>
            </w:pPr>
          </w:p>
        </w:tc>
        <w:tc>
          <w:tcPr>
            <w:tcW w:w="0" w:type="auto"/>
            <w:tcBorders>
              <w:top w:val="nil"/>
              <w:left w:val="nil"/>
              <w:bottom w:val="nil"/>
              <w:right w:val="nil"/>
            </w:tcBorders>
            <w:vAlign w:val="center"/>
            <w:hideMark/>
          </w:tcPr>
          <w:p w14:paraId="2F0BB507" w14:textId="77777777" w:rsidR="007C6D37" w:rsidRPr="002150BE" w:rsidRDefault="007C6D37" w:rsidP="007C6D37">
            <w:pPr>
              <w:spacing w:after="0" w:line="240" w:lineRule="auto"/>
              <w:rPr>
                <w:rFonts w:asciiTheme="minorHAnsi" w:hAnsiTheme="minorHAnsi" w:cstheme="minorHAnsi"/>
                <w:sz w:val="18"/>
                <w:lang w:eastAsia="es-MX"/>
              </w:rPr>
            </w:pPr>
          </w:p>
        </w:tc>
        <w:tc>
          <w:tcPr>
            <w:tcW w:w="0" w:type="auto"/>
            <w:tcBorders>
              <w:top w:val="nil"/>
              <w:left w:val="nil"/>
              <w:bottom w:val="nil"/>
              <w:right w:val="nil"/>
            </w:tcBorders>
            <w:vAlign w:val="center"/>
            <w:hideMark/>
          </w:tcPr>
          <w:p w14:paraId="6F2C8A75" w14:textId="77777777" w:rsidR="007C6D37" w:rsidRPr="002150BE" w:rsidRDefault="007C6D37" w:rsidP="007C6D37">
            <w:pPr>
              <w:spacing w:after="0" w:line="240" w:lineRule="auto"/>
              <w:rPr>
                <w:rFonts w:asciiTheme="minorHAnsi" w:hAnsiTheme="minorHAnsi" w:cstheme="minorHAnsi"/>
                <w:sz w:val="18"/>
                <w:lang w:eastAsia="es-MX"/>
              </w:rPr>
            </w:pPr>
          </w:p>
        </w:tc>
        <w:tc>
          <w:tcPr>
            <w:tcW w:w="0" w:type="auto"/>
            <w:tcBorders>
              <w:top w:val="nil"/>
              <w:left w:val="nil"/>
              <w:bottom w:val="nil"/>
              <w:right w:val="single" w:sz="4" w:space="0" w:color="BFBFBF" w:themeColor="background1" w:themeShade="BF"/>
            </w:tcBorders>
            <w:vAlign w:val="center"/>
            <w:hideMark/>
          </w:tcPr>
          <w:p w14:paraId="1AC89E32" w14:textId="77777777" w:rsidR="007C6D37" w:rsidRPr="002150BE" w:rsidRDefault="007C6D37" w:rsidP="007C6D37">
            <w:pPr>
              <w:spacing w:after="0" w:line="240" w:lineRule="auto"/>
              <w:rPr>
                <w:rFonts w:asciiTheme="minorHAnsi" w:hAnsiTheme="minorHAnsi" w:cstheme="minorHAnsi"/>
                <w:color w:val="262626"/>
                <w:sz w:val="18"/>
                <w:lang w:eastAsia="es-MX"/>
              </w:rPr>
            </w:pPr>
            <w:r w:rsidRPr="002150BE">
              <w:rPr>
                <w:rFonts w:asciiTheme="minorHAnsi" w:hAnsiTheme="minorHAnsi" w:cstheme="minorHAnsi"/>
                <w:color w:val="262626"/>
                <w:sz w:val="18"/>
                <w:lang w:eastAsia="es-MX"/>
              </w:rPr>
              <w:t> </w:t>
            </w:r>
          </w:p>
        </w:tc>
      </w:tr>
      <w:tr w:rsidR="00901755" w:rsidRPr="002150BE" w14:paraId="35D4301F" w14:textId="77777777" w:rsidTr="000A4BBB">
        <w:trPr>
          <w:trHeight w:val="712"/>
        </w:trPr>
        <w:tc>
          <w:tcPr>
            <w:tcW w:w="1378" w:type="dxa"/>
            <w:tcBorders>
              <w:top w:val="nil"/>
              <w:left w:val="single" w:sz="4" w:space="0" w:color="BFBFBF" w:themeColor="background1" w:themeShade="BF"/>
              <w:bottom w:val="single" w:sz="4" w:space="0" w:color="7F7F7F" w:themeColor="text1" w:themeTint="80"/>
              <w:right w:val="nil"/>
            </w:tcBorders>
            <w:noWrap/>
          </w:tcPr>
          <w:p w14:paraId="7986223E" w14:textId="77777777" w:rsidR="007C6D37" w:rsidRPr="002150BE" w:rsidRDefault="007C6D37" w:rsidP="007C6D37">
            <w:pPr>
              <w:spacing w:after="0" w:line="240" w:lineRule="auto"/>
              <w:jc w:val="center"/>
              <w:rPr>
                <w:rFonts w:asciiTheme="minorHAnsi" w:hAnsiTheme="minorHAnsi" w:cstheme="minorHAnsi"/>
                <w:b/>
                <w:color w:val="000000"/>
                <w:sz w:val="18"/>
                <w:lang w:eastAsia="es-MX"/>
              </w:rPr>
            </w:pPr>
          </w:p>
        </w:tc>
        <w:tc>
          <w:tcPr>
            <w:tcW w:w="1860" w:type="dxa"/>
            <w:tcBorders>
              <w:top w:val="nil"/>
              <w:left w:val="nil"/>
              <w:bottom w:val="single" w:sz="4" w:space="0" w:color="7F7F7F" w:themeColor="text1" w:themeTint="80"/>
              <w:right w:val="nil"/>
            </w:tcBorders>
          </w:tcPr>
          <w:p w14:paraId="29DCA746" w14:textId="77777777" w:rsidR="007C6D37" w:rsidRPr="002150BE" w:rsidRDefault="007C6D37" w:rsidP="007C6D37">
            <w:pPr>
              <w:spacing w:after="0" w:line="240" w:lineRule="auto"/>
              <w:rPr>
                <w:rFonts w:asciiTheme="minorHAnsi" w:hAnsiTheme="minorHAnsi" w:cstheme="minorHAnsi"/>
                <w:color w:val="262626"/>
                <w:sz w:val="18"/>
                <w:lang w:eastAsia="es-MX"/>
              </w:rPr>
            </w:pPr>
          </w:p>
        </w:tc>
        <w:tc>
          <w:tcPr>
            <w:tcW w:w="0" w:type="auto"/>
            <w:tcBorders>
              <w:top w:val="nil"/>
              <w:left w:val="nil"/>
              <w:bottom w:val="single" w:sz="4" w:space="0" w:color="7F7F7F" w:themeColor="text1" w:themeTint="80"/>
              <w:right w:val="nil"/>
            </w:tcBorders>
            <w:noWrap/>
            <w:vAlign w:val="center"/>
            <w:hideMark/>
          </w:tcPr>
          <w:p w14:paraId="110A00EC" w14:textId="77777777" w:rsidR="007C6D37" w:rsidRPr="002150BE" w:rsidRDefault="007C6D37" w:rsidP="007C6D37">
            <w:pPr>
              <w:spacing w:after="0" w:line="240" w:lineRule="auto"/>
              <w:rPr>
                <w:rFonts w:asciiTheme="minorHAnsi" w:hAnsiTheme="minorHAnsi" w:cstheme="minorHAnsi"/>
                <w:color w:val="262626"/>
                <w:sz w:val="18"/>
                <w:lang w:eastAsia="es-MX"/>
              </w:rPr>
            </w:pPr>
          </w:p>
        </w:tc>
        <w:tc>
          <w:tcPr>
            <w:tcW w:w="0" w:type="auto"/>
            <w:tcBorders>
              <w:top w:val="nil"/>
              <w:left w:val="nil"/>
              <w:bottom w:val="single" w:sz="4" w:space="0" w:color="7F7F7F" w:themeColor="text1" w:themeTint="80"/>
              <w:right w:val="nil"/>
            </w:tcBorders>
            <w:noWrap/>
            <w:vAlign w:val="center"/>
            <w:hideMark/>
          </w:tcPr>
          <w:p w14:paraId="47D22511" w14:textId="77777777" w:rsidR="007C6D37" w:rsidRPr="002150BE" w:rsidRDefault="007C6D37" w:rsidP="007C6D37">
            <w:pPr>
              <w:spacing w:after="0" w:line="240" w:lineRule="auto"/>
              <w:rPr>
                <w:rFonts w:asciiTheme="minorHAnsi" w:hAnsiTheme="minorHAnsi" w:cstheme="minorHAnsi"/>
                <w:sz w:val="18"/>
                <w:lang w:eastAsia="es-MX"/>
              </w:rPr>
            </w:pPr>
          </w:p>
        </w:tc>
        <w:tc>
          <w:tcPr>
            <w:tcW w:w="0" w:type="auto"/>
            <w:tcBorders>
              <w:top w:val="nil"/>
              <w:left w:val="nil"/>
              <w:bottom w:val="single" w:sz="4" w:space="0" w:color="7F7F7F" w:themeColor="text1" w:themeTint="80"/>
              <w:right w:val="nil"/>
            </w:tcBorders>
            <w:noWrap/>
            <w:vAlign w:val="center"/>
            <w:hideMark/>
          </w:tcPr>
          <w:p w14:paraId="63E4D404" w14:textId="77777777" w:rsidR="007C6D37" w:rsidRPr="002150BE" w:rsidRDefault="007C6D37" w:rsidP="007C6D37">
            <w:pPr>
              <w:spacing w:after="0" w:line="240" w:lineRule="auto"/>
              <w:rPr>
                <w:rFonts w:asciiTheme="minorHAnsi" w:hAnsiTheme="minorHAnsi" w:cstheme="minorHAnsi"/>
                <w:sz w:val="18"/>
                <w:lang w:eastAsia="es-MX"/>
              </w:rPr>
            </w:pPr>
          </w:p>
        </w:tc>
        <w:tc>
          <w:tcPr>
            <w:tcW w:w="0" w:type="auto"/>
            <w:tcBorders>
              <w:top w:val="nil"/>
              <w:left w:val="nil"/>
              <w:bottom w:val="single" w:sz="4" w:space="0" w:color="7F7F7F" w:themeColor="text1" w:themeTint="80"/>
              <w:right w:val="nil"/>
            </w:tcBorders>
            <w:noWrap/>
            <w:vAlign w:val="center"/>
            <w:hideMark/>
          </w:tcPr>
          <w:p w14:paraId="5CA68B4C" w14:textId="77777777" w:rsidR="007C6D37" w:rsidRPr="002150BE" w:rsidRDefault="007C6D37" w:rsidP="007C6D37">
            <w:pPr>
              <w:spacing w:after="0" w:line="240" w:lineRule="auto"/>
              <w:rPr>
                <w:rFonts w:asciiTheme="minorHAnsi" w:hAnsiTheme="minorHAnsi" w:cstheme="minorHAnsi"/>
                <w:sz w:val="18"/>
                <w:lang w:eastAsia="es-MX"/>
              </w:rPr>
            </w:pPr>
          </w:p>
        </w:tc>
        <w:tc>
          <w:tcPr>
            <w:tcW w:w="2269" w:type="dxa"/>
            <w:tcBorders>
              <w:top w:val="nil"/>
              <w:left w:val="nil"/>
              <w:bottom w:val="single" w:sz="4" w:space="0" w:color="7F7F7F" w:themeColor="text1" w:themeTint="80"/>
              <w:right w:val="nil"/>
            </w:tcBorders>
            <w:noWrap/>
            <w:vAlign w:val="center"/>
            <w:hideMark/>
          </w:tcPr>
          <w:p w14:paraId="7C3AC762" w14:textId="77777777" w:rsidR="007C6D37" w:rsidRPr="002150BE" w:rsidRDefault="007C6D37" w:rsidP="007C6D37">
            <w:pPr>
              <w:spacing w:after="0" w:line="240" w:lineRule="auto"/>
              <w:rPr>
                <w:rFonts w:asciiTheme="minorHAnsi" w:hAnsiTheme="minorHAnsi" w:cstheme="minorHAnsi"/>
                <w:sz w:val="18"/>
                <w:lang w:eastAsia="es-MX"/>
              </w:rPr>
            </w:pPr>
          </w:p>
        </w:tc>
        <w:tc>
          <w:tcPr>
            <w:tcW w:w="2109" w:type="dxa"/>
            <w:tcBorders>
              <w:top w:val="nil"/>
              <w:left w:val="nil"/>
              <w:bottom w:val="single" w:sz="4" w:space="0" w:color="7F7F7F" w:themeColor="text1" w:themeTint="80"/>
              <w:right w:val="nil"/>
            </w:tcBorders>
            <w:noWrap/>
            <w:vAlign w:val="center"/>
            <w:hideMark/>
          </w:tcPr>
          <w:p w14:paraId="76000691" w14:textId="77777777" w:rsidR="007C6D37" w:rsidRPr="002150BE" w:rsidRDefault="007C6D37" w:rsidP="007C6D37">
            <w:pPr>
              <w:spacing w:after="0" w:line="240" w:lineRule="auto"/>
              <w:rPr>
                <w:rFonts w:asciiTheme="minorHAnsi" w:hAnsiTheme="minorHAnsi" w:cstheme="minorHAnsi"/>
                <w:sz w:val="18"/>
                <w:lang w:eastAsia="es-MX"/>
              </w:rPr>
            </w:pPr>
          </w:p>
        </w:tc>
        <w:tc>
          <w:tcPr>
            <w:tcW w:w="0" w:type="auto"/>
            <w:tcBorders>
              <w:top w:val="nil"/>
              <w:left w:val="nil"/>
              <w:bottom w:val="single" w:sz="4" w:space="0" w:color="7F7F7F" w:themeColor="text1" w:themeTint="80"/>
              <w:right w:val="nil"/>
            </w:tcBorders>
            <w:noWrap/>
            <w:vAlign w:val="center"/>
            <w:hideMark/>
          </w:tcPr>
          <w:p w14:paraId="7A08CE33" w14:textId="77777777" w:rsidR="007C6D37" w:rsidRPr="002150BE" w:rsidRDefault="007C6D37" w:rsidP="007C6D37">
            <w:pPr>
              <w:spacing w:after="0" w:line="240" w:lineRule="auto"/>
              <w:rPr>
                <w:rFonts w:asciiTheme="minorHAnsi" w:hAnsiTheme="minorHAnsi" w:cstheme="minorHAnsi"/>
                <w:sz w:val="18"/>
                <w:lang w:eastAsia="es-MX"/>
              </w:rPr>
            </w:pPr>
          </w:p>
        </w:tc>
        <w:tc>
          <w:tcPr>
            <w:tcW w:w="0" w:type="auto"/>
            <w:tcBorders>
              <w:top w:val="nil"/>
              <w:left w:val="nil"/>
              <w:bottom w:val="single" w:sz="4" w:space="0" w:color="7F7F7F" w:themeColor="text1" w:themeTint="80"/>
              <w:right w:val="nil"/>
            </w:tcBorders>
            <w:noWrap/>
            <w:vAlign w:val="center"/>
            <w:hideMark/>
          </w:tcPr>
          <w:p w14:paraId="3EDB7F87" w14:textId="77777777" w:rsidR="007C6D37" w:rsidRPr="002150BE" w:rsidRDefault="007C6D37" w:rsidP="007C6D37">
            <w:pPr>
              <w:spacing w:after="0" w:line="240" w:lineRule="auto"/>
              <w:rPr>
                <w:rFonts w:asciiTheme="minorHAnsi" w:hAnsiTheme="minorHAnsi" w:cstheme="minorHAnsi"/>
                <w:sz w:val="18"/>
                <w:lang w:eastAsia="es-MX"/>
              </w:rPr>
            </w:pPr>
          </w:p>
        </w:tc>
        <w:tc>
          <w:tcPr>
            <w:tcW w:w="0" w:type="auto"/>
            <w:tcBorders>
              <w:top w:val="nil"/>
              <w:left w:val="nil"/>
              <w:bottom w:val="single" w:sz="4" w:space="0" w:color="7F7F7F" w:themeColor="text1" w:themeTint="80"/>
              <w:right w:val="nil"/>
            </w:tcBorders>
            <w:noWrap/>
            <w:vAlign w:val="center"/>
            <w:hideMark/>
          </w:tcPr>
          <w:p w14:paraId="05B82168" w14:textId="77777777" w:rsidR="007C6D37" w:rsidRPr="002150BE" w:rsidRDefault="007C6D37" w:rsidP="007C6D37">
            <w:pPr>
              <w:spacing w:after="0" w:line="240" w:lineRule="auto"/>
              <w:rPr>
                <w:rFonts w:asciiTheme="minorHAnsi" w:hAnsiTheme="minorHAnsi" w:cstheme="minorHAnsi"/>
                <w:sz w:val="18"/>
                <w:lang w:eastAsia="es-MX"/>
              </w:rPr>
            </w:pPr>
          </w:p>
        </w:tc>
        <w:tc>
          <w:tcPr>
            <w:tcW w:w="0" w:type="auto"/>
            <w:tcBorders>
              <w:top w:val="nil"/>
              <w:left w:val="nil"/>
              <w:bottom w:val="single" w:sz="4" w:space="0" w:color="7F7F7F" w:themeColor="text1" w:themeTint="80"/>
              <w:right w:val="single" w:sz="4" w:space="0" w:color="BFBFBF" w:themeColor="background1" w:themeShade="BF"/>
            </w:tcBorders>
            <w:noWrap/>
            <w:vAlign w:val="center"/>
            <w:hideMark/>
          </w:tcPr>
          <w:p w14:paraId="03E65193" w14:textId="77777777" w:rsidR="007C6D37" w:rsidRPr="002150BE" w:rsidRDefault="007C6D37" w:rsidP="007C6D37">
            <w:pPr>
              <w:spacing w:after="0" w:line="240" w:lineRule="auto"/>
              <w:rPr>
                <w:rFonts w:asciiTheme="minorHAnsi" w:hAnsiTheme="minorHAnsi" w:cstheme="minorHAnsi"/>
                <w:color w:val="000000"/>
                <w:sz w:val="18"/>
                <w:lang w:eastAsia="es-MX"/>
              </w:rPr>
            </w:pPr>
            <w:r w:rsidRPr="002150BE">
              <w:rPr>
                <w:rFonts w:asciiTheme="minorHAnsi" w:hAnsiTheme="minorHAnsi" w:cstheme="minorHAnsi"/>
                <w:color w:val="000000"/>
                <w:sz w:val="18"/>
                <w:lang w:eastAsia="es-MX"/>
              </w:rPr>
              <w:t> </w:t>
            </w:r>
          </w:p>
        </w:tc>
      </w:tr>
      <w:tr w:rsidR="007C6D37" w:rsidRPr="002150BE" w14:paraId="42F97982" w14:textId="77777777" w:rsidTr="00B50525">
        <w:trPr>
          <w:trHeight w:val="330"/>
        </w:trPr>
        <w:tc>
          <w:tcPr>
            <w:tcW w:w="0" w:type="auto"/>
            <w:gridSpan w:val="1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F7F7F" w:themeFill="text1" w:themeFillTint="80"/>
            <w:noWrap/>
            <w:vAlign w:val="center"/>
            <w:hideMark/>
          </w:tcPr>
          <w:p w14:paraId="2846E630" w14:textId="77777777" w:rsidR="007C6D37" w:rsidRPr="002150BE" w:rsidRDefault="007C6D37" w:rsidP="007C6D37">
            <w:pPr>
              <w:spacing w:after="0" w:line="240" w:lineRule="auto"/>
              <w:jc w:val="center"/>
              <w:rPr>
                <w:rFonts w:asciiTheme="minorHAnsi" w:hAnsiTheme="minorHAnsi" w:cstheme="minorHAnsi"/>
                <w:b/>
                <w:color w:val="FFFFFF" w:themeColor="background1"/>
                <w:sz w:val="18"/>
                <w:lang w:eastAsia="es-MX"/>
              </w:rPr>
            </w:pPr>
            <w:r w:rsidRPr="002150BE">
              <w:rPr>
                <w:rFonts w:asciiTheme="minorHAnsi" w:hAnsiTheme="minorHAnsi" w:cstheme="minorHAnsi"/>
                <w:b/>
                <w:color w:val="FFFFFF" w:themeColor="background1"/>
                <w:sz w:val="18"/>
                <w:lang w:eastAsia="es-MX"/>
              </w:rPr>
              <w:t>Áreas de mejora</w:t>
            </w:r>
          </w:p>
        </w:tc>
      </w:tr>
      <w:tr w:rsidR="00603217" w:rsidRPr="002150BE" w14:paraId="6528994B" w14:textId="77777777" w:rsidTr="00901755">
        <w:trPr>
          <w:trHeight w:val="379"/>
        </w:trPr>
        <w:tc>
          <w:tcPr>
            <w:tcW w:w="13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77B7414C" w14:textId="77777777" w:rsidR="007C6D37" w:rsidRPr="002150BE" w:rsidRDefault="007C6D37" w:rsidP="00603217">
            <w:pPr>
              <w:spacing w:after="0" w:line="240" w:lineRule="auto"/>
              <w:jc w:val="center"/>
              <w:rPr>
                <w:rFonts w:asciiTheme="minorHAnsi" w:hAnsiTheme="minorHAnsi" w:cstheme="minorHAnsi"/>
                <w:b/>
                <w:sz w:val="16"/>
                <w:lang w:eastAsia="es-MX"/>
              </w:rPr>
            </w:pPr>
            <w:r w:rsidRPr="002150BE">
              <w:rPr>
                <w:rFonts w:asciiTheme="minorHAnsi" w:hAnsiTheme="minorHAnsi" w:cstheme="minorHAnsi"/>
                <w:b/>
                <w:sz w:val="16"/>
                <w:lang w:eastAsia="es-MX"/>
              </w:rPr>
              <w:t>Proceso</w:t>
            </w:r>
          </w:p>
        </w:tc>
        <w:tc>
          <w:tcPr>
            <w:tcW w:w="215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4C50EEFA" w14:textId="77777777" w:rsidR="007C6D37" w:rsidRPr="002150BE" w:rsidRDefault="007C6D37" w:rsidP="00603217">
            <w:pPr>
              <w:spacing w:after="0" w:line="240" w:lineRule="auto"/>
              <w:jc w:val="center"/>
              <w:rPr>
                <w:rFonts w:asciiTheme="minorHAnsi" w:hAnsiTheme="minorHAnsi" w:cstheme="minorHAnsi"/>
                <w:b/>
                <w:sz w:val="16"/>
                <w:lang w:eastAsia="es-MX"/>
              </w:rPr>
            </w:pPr>
            <w:r w:rsidRPr="002150BE">
              <w:rPr>
                <w:rFonts w:asciiTheme="minorHAnsi" w:hAnsiTheme="minorHAnsi" w:cstheme="minorHAnsi"/>
                <w:b/>
                <w:sz w:val="16"/>
                <w:lang w:eastAsia="es-MX"/>
              </w:rPr>
              <w:t>Mejora identificada</w:t>
            </w:r>
          </w:p>
        </w:tc>
        <w:tc>
          <w:tcPr>
            <w:tcW w:w="256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57ECDC16" w14:textId="77777777" w:rsidR="007C6D37" w:rsidRPr="002150BE" w:rsidRDefault="007C6D37" w:rsidP="00603217">
            <w:pPr>
              <w:spacing w:after="0" w:line="240" w:lineRule="auto"/>
              <w:jc w:val="center"/>
              <w:rPr>
                <w:rFonts w:asciiTheme="minorHAnsi" w:hAnsiTheme="minorHAnsi" w:cstheme="minorHAnsi"/>
                <w:b/>
                <w:sz w:val="16"/>
                <w:lang w:eastAsia="es-MX"/>
              </w:rPr>
            </w:pPr>
            <w:r w:rsidRPr="002150BE">
              <w:rPr>
                <w:rFonts w:asciiTheme="minorHAnsi" w:hAnsiTheme="minorHAnsi" w:cstheme="minorHAnsi"/>
                <w:b/>
                <w:sz w:val="16"/>
                <w:lang w:eastAsia="es-MX"/>
              </w:rPr>
              <w:t>Argumentación</w:t>
            </w:r>
          </w:p>
        </w:tc>
        <w:tc>
          <w:tcPr>
            <w:tcW w:w="273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34C42E15" w14:textId="77777777" w:rsidR="007C6D37" w:rsidRPr="002150BE" w:rsidRDefault="007C6D37" w:rsidP="00603217">
            <w:pPr>
              <w:spacing w:after="0" w:line="240" w:lineRule="auto"/>
              <w:jc w:val="center"/>
              <w:rPr>
                <w:rFonts w:asciiTheme="minorHAnsi" w:hAnsiTheme="minorHAnsi" w:cstheme="minorHAnsi"/>
                <w:b/>
                <w:sz w:val="16"/>
                <w:lang w:eastAsia="es-MX"/>
              </w:rPr>
            </w:pPr>
            <w:r w:rsidRPr="002150BE">
              <w:rPr>
                <w:rFonts w:asciiTheme="minorHAnsi" w:hAnsiTheme="minorHAnsi" w:cstheme="minorHAnsi"/>
                <w:b/>
                <w:sz w:val="16"/>
                <w:lang w:eastAsia="es-MX"/>
              </w:rPr>
              <w:t>Propuesta</w:t>
            </w:r>
          </w:p>
        </w:tc>
      </w:tr>
      <w:tr w:rsidR="00901755" w:rsidRPr="002150BE" w14:paraId="62ADD05A" w14:textId="77777777" w:rsidTr="00901755">
        <w:trPr>
          <w:trHeight w:val="260"/>
        </w:trPr>
        <w:tc>
          <w:tcPr>
            <w:tcW w:w="13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618DBEE4" w14:textId="494E2B81" w:rsidR="00901755" w:rsidRPr="002150BE" w:rsidRDefault="00901755" w:rsidP="00901755">
            <w:pPr>
              <w:spacing w:after="0" w:line="240" w:lineRule="auto"/>
              <w:jc w:val="center"/>
              <w:rPr>
                <w:rFonts w:asciiTheme="minorHAnsi" w:hAnsiTheme="minorHAnsi" w:cstheme="minorHAnsi"/>
                <w:sz w:val="18"/>
                <w:szCs w:val="18"/>
                <w:lang w:eastAsia="es-MX"/>
              </w:rPr>
            </w:pPr>
            <w:r w:rsidRPr="002150BE">
              <w:rPr>
                <w:rFonts w:asciiTheme="minorHAnsi" w:hAnsiTheme="minorHAnsi" w:cstheme="minorHAnsi"/>
                <w:color w:val="000000"/>
                <w:sz w:val="22"/>
              </w:rPr>
              <w:lastRenderedPageBreak/>
              <w:t>Proceso 1. Emitir convocatoria para nuevo ingreso</w:t>
            </w:r>
          </w:p>
        </w:tc>
        <w:tc>
          <w:tcPr>
            <w:tcW w:w="215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15E11935" w14:textId="56E7CBD4" w:rsidR="00901755" w:rsidRPr="002150BE" w:rsidRDefault="00901755" w:rsidP="00901755">
            <w:pPr>
              <w:spacing w:after="0" w:line="240" w:lineRule="auto"/>
              <w:jc w:val="center"/>
              <w:rPr>
                <w:rFonts w:asciiTheme="minorHAnsi" w:hAnsiTheme="minorHAnsi" w:cstheme="minorHAnsi"/>
                <w:sz w:val="18"/>
                <w:szCs w:val="18"/>
                <w:lang w:eastAsia="es-MX"/>
              </w:rPr>
            </w:pPr>
            <w:r w:rsidRPr="002150BE">
              <w:rPr>
                <w:rFonts w:asciiTheme="minorHAnsi" w:hAnsiTheme="minorHAnsi" w:cstheme="minorHAnsi"/>
                <w:color w:val="000000"/>
                <w:sz w:val="22"/>
              </w:rPr>
              <w:t>Publicación más clara y homogénea de requisitos, criterios de selección y calendario en formatos accesibles.</w:t>
            </w:r>
          </w:p>
        </w:tc>
        <w:tc>
          <w:tcPr>
            <w:tcW w:w="256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7790BAB3" w14:textId="1583674C" w:rsidR="00901755" w:rsidRPr="002150BE" w:rsidRDefault="00901755" w:rsidP="00901755">
            <w:pPr>
              <w:spacing w:after="0" w:line="240" w:lineRule="auto"/>
              <w:jc w:val="center"/>
              <w:rPr>
                <w:rFonts w:asciiTheme="minorHAnsi" w:hAnsiTheme="minorHAnsi" w:cstheme="minorHAnsi"/>
                <w:sz w:val="18"/>
                <w:szCs w:val="18"/>
                <w:lang w:eastAsia="es-MX"/>
              </w:rPr>
            </w:pPr>
            <w:r w:rsidRPr="002150BE">
              <w:rPr>
                <w:rFonts w:asciiTheme="minorHAnsi" w:hAnsiTheme="minorHAnsi" w:cstheme="minorHAnsi"/>
                <w:color w:val="000000"/>
                <w:sz w:val="22"/>
              </w:rPr>
              <w:t>Aunque la convocatoria incluye periodos de preinscripción y requisitos básicos, no siempre explicita de forma homogénea los criterios de asignación de lugares ni presenta el calendario en formatos accesibles para toda la población objetivo, lo que puede generar confusión o consultas reiteradas.</w:t>
            </w:r>
          </w:p>
        </w:tc>
        <w:tc>
          <w:tcPr>
            <w:tcW w:w="273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576AEE" w14:textId="6D1E9BEF" w:rsidR="00901755" w:rsidRPr="002150BE" w:rsidRDefault="00901755" w:rsidP="00901755">
            <w:pPr>
              <w:spacing w:after="0" w:line="240" w:lineRule="auto"/>
              <w:jc w:val="center"/>
              <w:rPr>
                <w:rFonts w:asciiTheme="minorHAnsi" w:hAnsiTheme="minorHAnsi" w:cstheme="minorHAnsi"/>
                <w:sz w:val="18"/>
                <w:szCs w:val="18"/>
                <w:lang w:eastAsia="es-MX"/>
              </w:rPr>
            </w:pPr>
            <w:r w:rsidRPr="002150BE">
              <w:rPr>
                <w:rFonts w:asciiTheme="minorHAnsi" w:hAnsiTheme="minorHAnsi" w:cstheme="minorHAnsi"/>
                <w:color w:val="000000"/>
                <w:sz w:val="22"/>
              </w:rPr>
              <w:t>Estandarizar el formato de convocatoria incorporando un apartado específico de “criterios de selección”, un calendario esquemático y una versión accesible (lectura sencilla y descargable) en la página institucional, vinculada directamente al micrositio de admisión.</w:t>
            </w:r>
          </w:p>
        </w:tc>
      </w:tr>
      <w:tr w:rsidR="00901755" w:rsidRPr="002150BE" w14:paraId="353C8844" w14:textId="77777777" w:rsidTr="00901755">
        <w:trPr>
          <w:trHeight w:val="260"/>
        </w:trPr>
        <w:tc>
          <w:tcPr>
            <w:tcW w:w="13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3E1F3F07" w14:textId="4A510B0C" w:rsidR="00901755" w:rsidRPr="002150BE" w:rsidRDefault="00901755" w:rsidP="00901755">
            <w:pPr>
              <w:spacing w:after="0" w:line="240" w:lineRule="auto"/>
              <w:jc w:val="center"/>
              <w:rPr>
                <w:rFonts w:asciiTheme="minorHAnsi" w:hAnsiTheme="minorHAnsi" w:cstheme="minorHAnsi"/>
                <w:sz w:val="18"/>
                <w:szCs w:val="18"/>
                <w:lang w:eastAsia="es-MX"/>
              </w:rPr>
            </w:pPr>
            <w:r w:rsidRPr="002150BE">
              <w:rPr>
                <w:rFonts w:asciiTheme="minorHAnsi" w:hAnsiTheme="minorHAnsi" w:cstheme="minorHAnsi"/>
                <w:color w:val="000000"/>
                <w:sz w:val="22"/>
              </w:rPr>
              <w:t>Proceso 4. Abrir el periodo de preinscripción</w:t>
            </w:r>
          </w:p>
        </w:tc>
        <w:tc>
          <w:tcPr>
            <w:tcW w:w="215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4FC1C2A3" w14:textId="2221A281" w:rsidR="00901755" w:rsidRPr="002150BE" w:rsidRDefault="00901755" w:rsidP="00901755">
            <w:pPr>
              <w:spacing w:after="0" w:line="240" w:lineRule="auto"/>
              <w:jc w:val="center"/>
              <w:rPr>
                <w:rFonts w:asciiTheme="minorHAnsi" w:hAnsiTheme="minorHAnsi" w:cstheme="minorHAnsi"/>
                <w:sz w:val="18"/>
                <w:szCs w:val="18"/>
                <w:lang w:eastAsia="es-MX"/>
              </w:rPr>
            </w:pPr>
            <w:r w:rsidRPr="002150BE">
              <w:rPr>
                <w:rFonts w:asciiTheme="minorHAnsi" w:hAnsiTheme="minorHAnsi" w:cstheme="minorHAnsi"/>
                <w:color w:val="000000"/>
                <w:sz w:val="22"/>
              </w:rPr>
              <w:t>Adaptar el procedimiento a las características de la población objetivo mediante ventanilla virtual complementaria.</w:t>
            </w:r>
          </w:p>
        </w:tc>
        <w:tc>
          <w:tcPr>
            <w:tcW w:w="256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5754D1E9" w14:textId="7F63EBDA" w:rsidR="00901755" w:rsidRPr="002150BE" w:rsidRDefault="00901755" w:rsidP="00901755">
            <w:pPr>
              <w:spacing w:after="0" w:line="240" w:lineRule="auto"/>
              <w:jc w:val="center"/>
              <w:rPr>
                <w:rFonts w:asciiTheme="minorHAnsi" w:hAnsiTheme="minorHAnsi" w:cstheme="minorHAnsi"/>
                <w:sz w:val="18"/>
                <w:szCs w:val="18"/>
                <w:lang w:eastAsia="es-MX"/>
              </w:rPr>
            </w:pPr>
            <w:r w:rsidRPr="002150BE">
              <w:rPr>
                <w:rFonts w:asciiTheme="minorHAnsi" w:hAnsiTheme="minorHAnsi" w:cstheme="minorHAnsi"/>
                <w:color w:val="000000"/>
                <w:sz w:val="22"/>
              </w:rPr>
              <w:t>El registro se concentra en ventanilla física en fechas determinadas; para aspirantes que viven fuera de la ciudad o que trabajan, esto puede representar una barrera de acceso y aumentar la carga operativa en días pico.</w:t>
            </w:r>
          </w:p>
        </w:tc>
        <w:tc>
          <w:tcPr>
            <w:tcW w:w="273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05CAA8" w14:textId="375C04DB" w:rsidR="00901755" w:rsidRPr="002150BE" w:rsidRDefault="00901755" w:rsidP="00901755">
            <w:pPr>
              <w:spacing w:after="0" w:line="240" w:lineRule="auto"/>
              <w:jc w:val="center"/>
              <w:rPr>
                <w:rFonts w:asciiTheme="minorHAnsi" w:hAnsiTheme="minorHAnsi" w:cstheme="minorHAnsi"/>
                <w:sz w:val="18"/>
                <w:szCs w:val="18"/>
                <w:lang w:eastAsia="es-MX"/>
              </w:rPr>
            </w:pPr>
            <w:r w:rsidRPr="002150BE">
              <w:rPr>
                <w:rFonts w:asciiTheme="minorHAnsi" w:hAnsiTheme="minorHAnsi" w:cstheme="minorHAnsi"/>
                <w:color w:val="000000"/>
                <w:sz w:val="22"/>
              </w:rPr>
              <w:t xml:space="preserve">Habilitar un módulo de preinscripción en línea donde el aspirante pueda cargar documentos escaneados y generar su folio de </w:t>
            </w:r>
            <w:proofErr w:type="spellStart"/>
            <w:r w:rsidRPr="002150BE">
              <w:rPr>
                <w:rFonts w:asciiTheme="minorHAnsi" w:hAnsiTheme="minorHAnsi" w:cstheme="minorHAnsi"/>
                <w:color w:val="000000"/>
                <w:sz w:val="22"/>
              </w:rPr>
              <w:t>preregistro</w:t>
            </w:r>
            <w:proofErr w:type="spellEnd"/>
            <w:r w:rsidRPr="002150BE">
              <w:rPr>
                <w:rFonts w:asciiTheme="minorHAnsi" w:hAnsiTheme="minorHAnsi" w:cstheme="minorHAnsi"/>
                <w:color w:val="000000"/>
                <w:sz w:val="22"/>
              </w:rPr>
              <w:t>, de manera que sólo acuda a ventanilla a validar originales y concluir el trámite, reduciendo tiempos de espera y ampliando el alcance territorial.</w:t>
            </w:r>
          </w:p>
        </w:tc>
      </w:tr>
      <w:tr w:rsidR="00901755" w:rsidRPr="002150BE" w14:paraId="348E0027" w14:textId="77777777" w:rsidTr="00901755">
        <w:trPr>
          <w:trHeight w:val="260"/>
        </w:trPr>
        <w:tc>
          <w:tcPr>
            <w:tcW w:w="13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63D15B7D" w14:textId="6033065F" w:rsidR="00901755" w:rsidRPr="002150BE" w:rsidRDefault="00901755" w:rsidP="00901755">
            <w:pPr>
              <w:spacing w:after="0" w:line="240" w:lineRule="auto"/>
              <w:jc w:val="center"/>
              <w:rPr>
                <w:rFonts w:asciiTheme="minorHAnsi" w:hAnsiTheme="minorHAnsi" w:cstheme="minorHAnsi"/>
                <w:sz w:val="18"/>
                <w:szCs w:val="18"/>
                <w:lang w:eastAsia="es-MX"/>
              </w:rPr>
            </w:pPr>
            <w:r w:rsidRPr="002150BE">
              <w:rPr>
                <w:rFonts w:asciiTheme="minorHAnsi" w:hAnsiTheme="minorHAnsi" w:cstheme="minorHAnsi"/>
                <w:color w:val="000000"/>
                <w:sz w:val="22"/>
              </w:rPr>
              <w:t>Proceso 6. Registrar en examen de admisión al alumnado</w:t>
            </w:r>
          </w:p>
        </w:tc>
        <w:tc>
          <w:tcPr>
            <w:tcW w:w="215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71AFC19E" w14:textId="208848EC" w:rsidR="00901755" w:rsidRPr="002150BE" w:rsidRDefault="00901755" w:rsidP="00901755">
            <w:pPr>
              <w:spacing w:after="0" w:line="240" w:lineRule="auto"/>
              <w:jc w:val="center"/>
              <w:rPr>
                <w:rFonts w:asciiTheme="minorHAnsi" w:hAnsiTheme="minorHAnsi" w:cstheme="minorHAnsi"/>
                <w:sz w:val="18"/>
                <w:szCs w:val="18"/>
                <w:lang w:eastAsia="es-MX"/>
              </w:rPr>
            </w:pPr>
            <w:r w:rsidRPr="002150BE">
              <w:rPr>
                <w:rFonts w:asciiTheme="minorHAnsi" w:hAnsiTheme="minorHAnsi" w:cstheme="minorHAnsi"/>
                <w:color w:val="000000"/>
                <w:sz w:val="22"/>
              </w:rPr>
              <w:t>Inclusión de un folio único de aspirante y confirmación electrónica del registro.</w:t>
            </w:r>
          </w:p>
        </w:tc>
        <w:tc>
          <w:tcPr>
            <w:tcW w:w="256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7EA3CA39" w14:textId="27625A7B" w:rsidR="00901755" w:rsidRPr="002150BE" w:rsidRDefault="00901755" w:rsidP="00901755">
            <w:pPr>
              <w:spacing w:after="0" w:line="240" w:lineRule="auto"/>
              <w:jc w:val="center"/>
              <w:rPr>
                <w:rFonts w:asciiTheme="minorHAnsi" w:hAnsiTheme="minorHAnsi" w:cstheme="minorHAnsi"/>
                <w:sz w:val="18"/>
                <w:szCs w:val="18"/>
                <w:lang w:eastAsia="es-MX"/>
              </w:rPr>
            </w:pPr>
            <w:r w:rsidRPr="002150BE">
              <w:rPr>
                <w:rFonts w:asciiTheme="minorHAnsi" w:hAnsiTheme="minorHAnsi" w:cstheme="minorHAnsi"/>
                <w:color w:val="000000"/>
                <w:sz w:val="22"/>
              </w:rPr>
              <w:t>Actualmente el registro se realiza mediante listas y expedientes físicos o mixtos; la ausencia de un mecanismo de confirmación electrónica puede generar incertidumbre en el aspirante y dificultades para rastrear su solicitud.</w:t>
            </w:r>
          </w:p>
        </w:tc>
        <w:tc>
          <w:tcPr>
            <w:tcW w:w="273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91E869" w14:textId="0335E4DF" w:rsidR="00901755" w:rsidRPr="002150BE" w:rsidRDefault="00901755" w:rsidP="00901755">
            <w:pPr>
              <w:spacing w:after="0" w:line="240" w:lineRule="auto"/>
              <w:jc w:val="center"/>
              <w:rPr>
                <w:rFonts w:asciiTheme="minorHAnsi" w:hAnsiTheme="minorHAnsi" w:cstheme="minorHAnsi"/>
                <w:sz w:val="18"/>
                <w:szCs w:val="18"/>
                <w:lang w:eastAsia="es-MX"/>
              </w:rPr>
            </w:pPr>
            <w:r w:rsidRPr="002150BE">
              <w:rPr>
                <w:rFonts w:asciiTheme="minorHAnsi" w:hAnsiTheme="minorHAnsi" w:cstheme="minorHAnsi"/>
                <w:color w:val="000000"/>
                <w:sz w:val="22"/>
              </w:rPr>
              <w:t>Incorporar un folio único por aspirante vinculado a su CURP y correo electrónico, y enviar una constancia de registro vía correo o mensaje electrónico con fecha, sede y hora del examen, lo cual fortalece la trazabilidad del trámite y disminuye aclaraciones posteriores.</w:t>
            </w:r>
          </w:p>
        </w:tc>
      </w:tr>
      <w:tr w:rsidR="00901755" w:rsidRPr="002150BE" w14:paraId="1118058F" w14:textId="77777777" w:rsidTr="00901755">
        <w:trPr>
          <w:trHeight w:val="260"/>
        </w:trPr>
        <w:tc>
          <w:tcPr>
            <w:tcW w:w="13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4AEDB6A5" w14:textId="4599FDBA" w:rsidR="00901755" w:rsidRPr="002150BE" w:rsidRDefault="00901755" w:rsidP="00901755">
            <w:pPr>
              <w:spacing w:after="0" w:line="240" w:lineRule="auto"/>
              <w:jc w:val="center"/>
              <w:rPr>
                <w:rFonts w:asciiTheme="minorHAnsi" w:hAnsiTheme="minorHAnsi" w:cstheme="minorHAnsi"/>
                <w:sz w:val="18"/>
                <w:szCs w:val="18"/>
                <w:lang w:eastAsia="es-MX"/>
              </w:rPr>
            </w:pPr>
            <w:r w:rsidRPr="002150BE">
              <w:rPr>
                <w:rFonts w:asciiTheme="minorHAnsi" w:hAnsiTheme="minorHAnsi" w:cstheme="minorHAnsi"/>
                <w:color w:val="000000"/>
                <w:sz w:val="22"/>
              </w:rPr>
              <w:t>Proceso 9. Publicar lista de aceptados</w:t>
            </w:r>
          </w:p>
        </w:tc>
        <w:tc>
          <w:tcPr>
            <w:tcW w:w="215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1C84BDFF" w14:textId="3FA7A3B0" w:rsidR="00901755" w:rsidRPr="002150BE" w:rsidRDefault="00901755" w:rsidP="00901755">
            <w:pPr>
              <w:spacing w:after="0" w:line="240" w:lineRule="auto"/>
              <w:jc w:val="center"/>
              <w:rPr>
                <w:rFonts w:asciiTheme="minorHAnsi" w:hAnsiTheme="minorHAnsi" w:cstheme="minorHAnsi"/>
                <w:sz w:val="18"/>
                <w:szCs w:val="18"/>
                <w:lang w:eastAsia="es-MX"/>
              </w:rPr>
            </w:pPr>
            <w:r w:rsidRPr="002150BE">
              <w:rPr>
                <w:rFonts w:asciiTheme="minorHAnsi" w:hAnsiTheme="minorHAnsi" w:cstheme="minorHAnsi"/>
                <w:color w:val="000000"/>
                <w:sz w:val="22"/>
              </w:rPr>
              <w:t>Publicación detallada de pasos siguientes y atención a estudiantes no aceptados.</w:t>
            </w:r>
          </w:p>
        </w:tc>
        <w:tc>
          <w:tcPr>
            <w:tcW w:w="256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2B79A240" w14:textId="1D3F5CA0" w:rsidR="00901755" w:rsidRPr="002150BE" w:rsidRDefault="00901755" w:rsidP="00901755">
            <w:pPr>
              <w:spacing w:after="0" w:line="240" w:lineRule="auto"/>
              <w:jc w:val="center"/>
              <w:rPr>
                <w:rFonts w:asciiTheme="minorHAnsi" w:hAnsiTheme="minorHAnsi" w:cstheme="minorHAnsi"/>
                <w:sz w:val="18"/>
                <w:szCs w:val="18"/>
                <w:lang w:eastAsia="es-MX"/>
              </w:rPr>
            </w:pPr>
            <w:r w:rsidRPr="002150BE">
              <w:rPr>
                <w:rFonts w:asciiTheme="minorHAnsi" w:hAnsiTheme="minorHAnsi" w:cstheme="minorHAnsi"/>
                <w:color w:val="000000"/>
                <w:sz w:val="22"/>
              </w:rPr>
              <w:t>La lista de aceptados se difunde en redes y página web, pero de forma general; ofrecer información más completa sobre trámites posteriores y opciones para quienes no resultan aceptados mejoraría la orientación institucional.</w:t>
            </w:r>
          </w:p>
        </w:tc>
        <w:tc>
          <w:tcPr>
            <w:tcW w:w="273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523715" w14:textId="22D116C1" w:rsidR="00901755" w:rsidRPr="002150BE" w:rsidRDefault="00901755" w:rsidP="00901755">
            <w:pPr>
              <w:spacing w:after="0" w:line="240" w:lineRule="auto"/>
              <w:jc w:val="center"/>
              <w:rPr>
                <w:rFonts w:asciiTheme="minorHAnsi" w:hAnsiTheme="minorHAnsi" w:cstheme="minorHAnsi"/>
                <w:sz w:val="18"/>
                <w:szCs w:val="18"/>
                <w:lang w:eastAsia="es-MX"/>
              </w:rPr>
            </w:pPr>
            <w:r w:rsidRPr="002150BE">
              <w:rPr>
                <w:rFonts w:asciiTheme="minorHAnsi" w:hAnsiTheme="minorHAnsi" w:cstheme="minorHAnsi"/>
                <w:color w:val="000000"/>
                <w:sz w:val="22"/>
              </w:rPr>
              <w:t>Acompañar la lista de aceptados con un instructivo breve que describa fechas y requisitos de inscripción, así como un mensaje específico para aspirantes no aceptados con información sobre próximas convocatorias u opciones de orientación educativa.</w:t>
            </w:r>
          </w:p>
        </w:tc>
      </w:tr>
      <w:tr w:rsidR="00901755" w:rsidRPr="002150BE" w14:paraId="3C13AC53" w14:textId="77777777" w:rsidTr="00901755">
        <w:trPr>
          <w:trHeight w:val="260"/>
        </w:trPr>
        <w:tc>
          <w:tcPr>
            <w:tcW w:w="13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33A313EB" w14:textId="4A62BF88" w:rsidR="00901755" w:rsidRPr="002150BE" w:rsidRDefault="00901755" w:rsidP="00901755">
            <w:pPr>
              <w:spacing w:after="0" w:line="240" w:lineRule="auto"/>
              <w:jc w:val="center"/>
              <w:rPr>
                <w:rFonts w:asciiTheme="minorHAnsi" w:hAnsiTheme="minorHAnsi" w:cstheme="minorHAnsi"/>
                <w:sz w:val="18"/>
                <w:szCs w:val="18"/>
                <w:lang w:eastAsia="es-MX"/>
              </w:rPr>
            </w:pPr>
            <w:r w:rsidRPr="002150BE">
              <w:rPr>
                <w:rFonts w:asciiTheme="minorHAnsi" w:hAnsiTheme="minorHAnsi" w:cstheme="minorHAnsi"/>
                <w:color w:val="000000"/>
                <w:sz w:val="22"/>
              </w:rPr>
              <w:t xml:space="preserve">Proceso 1. </w:t>
            </w:r>
            <w:r w:rsidRPr="002150BE">
              <w:rPr>
                <w:rFonts w:asciiTheme="minorHAnsi" w:hAnsiTheme="minorHAnsi" w:cstheme="minorHAnsi"/>
                <w:color w:val="000000"/>
                <w:sz w:val="22"/>
              </w:rPr>
              <w:lastRenderedPageBreak/>
              <w:t>Abrir el periodo de inscripción para nuevo ingreso</w:t>
            </w:r>
          </w:p>
        </w:tc>
        <w:tc>
          <w:tcPr>
            <w:tcW w:w="215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123FEF39" w14:textId="495AA0F1" w:rsidR="00901755" w:rsidRPr="002150BE" w:rsidRDefault="00901755" w:rsidP="00901755">
            <w:pPr>
              <w:spacing w:after="0" w:line="240" w:lineRule="auto"/>
              <w:jc w:val="center"/>
              <w:rPr>
                <w:rFonts w:asciiTheme="minorHAnsi" w:hAnsiTheme="minorHAnsi" w:cstheme="minorHAnsi"/>
                <w:sz w:val="18"/>
                <w:szCs w:val="18"/>
                <w:lang w:eastAsia="es-MX"/>
              </w:rPr>
            </w:pPr>
            <w:r w:rsidRPr="002150BE">
              <w:rPr>
                <w:rFonts w:asciiTheme="minorHAnsi" w:hAnsiTheme="minorHAnsi" w:cstheme="minorHAnsi"/>
                <w:color w:val="000000"/>
                <w:sz w:val="22"/>
              </w:rPr>
              <w:lastRenderedPageBreak/>
              <w:t xml:space="preserve">Publicación más </w:t>
            </w:r>
            <w:r w:rsidRPr="002150BE">
              <w:rPr>
                <w:rFonts w:asciiTheme="minorHAnsi" w:hAnsiTheme="minorHAnsi" w:cstheme="minorHAnsi"/>
                <w:color w:val="000000"/>
                <w:sz w:val="22"/>
              </w:rPr>
              <w:lastRenderedPageBreak/>
              <w:t>visible y anticipada de las ventanas de inscripción y de los requisitos completos.</w:t>
            </w:r>
          </w:p>
        </w:tc>
        <w:tc>
          <w:tcPr>
            <w:tcW w:w="256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39C910CF" w14:textId="34DD23E7" w:rsidR="00901755" w:rsidRPr="002150BE" w:rsidRDefault="00901755" w:rsidP="00901755">
            <w:pPr>
              <w:spacing w:after="0" w:line="240" w:lineRule="auto"/>
              <w:jc w:val="center"/>
              <w:rPr>
                <w:rFonts w:asciiTheme="minorHAnsi" w:hAnsiTheme="minorHAnsi" w:cstheme="minorHAnsi"/>
                <w:sz w:val="18"/>
                <w:szCs w:val="18"/>
                <w:lang w:eastAsia="es-MX"/>
              </w:rPr>
            </w:pPr>
            <w:r w:rsidRPr="002150BE">
              <w:rPr>
                <w:rFonts w:asciiTheme="minorHAnsi" w:hAnsiTheme="minorHAnsi" w:cstheme="minorHAnsi"/>
                <w:color w:val="000000"/>
                <w:sz w:val="22"/>
              </w:rPr>
              <w:lastRenderedPageBreak/>
              <w:t xml:space="preserve">Si bien las fechas se </w:t>
            </w:r>
            <w:r w:rsidRPr="002150BE">
              <w:rPr>
                <w:rFonts w:asciiTheme="minorHAnsi" w:hAnsiTheme="minorHAnsi" w:cstheme="minorHAnsi"/>
                <w:color w:val="000000"/>
                <w:sz w:val="22"/>
              </w:rPr>
              <w:lastRenderedPageBreak/>
              <w:t>comunican, en ocasiones los aspirantes no consultan oportunamente la información, lo que deriva en concentraciones de personas en los últimos días y riesgo de que algunos no completen el trámite a tiempo.</w:t>
            </w:r>
          </w:p>
        </w:tc>
        <w:tc>
          <w:tcPr>
            <w:tcW w:w="273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96AA64" w14:textId="22B73368" w:rsidR="00901755" w:rsidRPr="002150BE" w:rsidRDefault="00901755" w:rsidP="00901755">
            <w:pPr>
              <w:spacing w:after="0" w:line="240" w:lineRule="auto"/>
              <w:jc w:val="center"/>
              <w:rPr>
                <w:rFonts w:asciiTheme="minorHAnsi" w:hAnsiTheme="minorHAnsi" w:cstheme="minorHAnsi"/>
                <w:sz w:val="18"/>
                <w:szCs w:val="18"/>
                <w:lang w:eastAsia="es-MX"/>
              </w:rPr>
            </w:pPr>
            <w:r w:rsidRPr="002150BE">
              <w:rPr>
                <w:rFonts w:asciiTheme="minorHAnsi" w:hAnsiTheme="minorHAnsi" w:cstheme="minorHAnsi"/>
                <w:color w:val="000000"/>
                <w:sz w:val="22"/>
              </w:rPr>
              <w:lastRenderedPageBreak/>
              <w:t xml:space="preserve">Consolidar un micrositio de </w:t>
            </w:r>
            <w:r w:rsidRPr="002150BE">
              <w:rPr>
                <w:rFonts w:asciiTheme="minorHAnsi" w:hAnsiTheme="minorHAnsi" w:cstheme="minorHAnsi"/>
                <w:color w:val="000000"/>
                <w:sz w:val="22"/>
              </w:rPr>
              <w:lastRenderedPageBreak/>
              <w:t>“Inscripción de nuevo ingreso” donde se concentren calendario, requisitos y formatos descargables, y difundirlo de manera anticipada en la fase de publicación de resultados de admisión, de modo que los estudiantes planeen su trámite con mayor anticipación.</w:t>
            </w:r>
          </w:p>
        </w:tc>
      </w:tr>
      <w:tr w:rsidR="00901755" w:rsidRPr="002150BE" w14:paraId="09AFB303" w14:textId="77777777" w:rsidTr="00901755">
        <w:trPr>
          <w:trHeight w:val="260"/>
        </w:trPr>
        <w:tc>
          <w:tcPr>
            <w:tcW w:w="13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5FD0F015" w14:textId="693BD221" w:rsidR="00901755" w:rsidRPr="002150BE" w:rsidRDefault="00901755" w:rsidP="00901755">
            <w:pPr>
              <w:spacing w:after="0" w:line="240" w:lineRule="auto"/>
              <w:jc w:val="center"/>
              <w:rPr>
                <w:rFonts w:asciiTheme="minorHAnsi" w:hAnsiTheme="minorHAnsi" w:cstheme="minorHAnsi"/>
                <w:sz w:val="18"/>
                <w:szCs w:val="18"/>
                <w:lang w:eastAsia="es-MX"/>
              </w:rPr>
            </w:pPr>
            <w:r w:rsidRPr="002150BE">
              <w:rPr>
                <w:rFonts w:asciiTheme="minorHAnsi" w:hAnsiTheme="minorHAnsi" w:cstheme="minorHAnsi"/>
                <w:color w:val="000000"/>
                <w:sz w:val="22"/>
              </w:rPr>
              <w:lastRenderedPageBreak/>
              <w:t>Proceso 2–3. Entrega de documentos originales y carta de autorización</w:t>
            </w:r>
          </w:p>
        </w:tc>
        <w:tc>
          <w:tcPr>
            <w:tcW w:w="215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6D9744F8" w14:textId="36F9226B" w:rsidR="00901755" w:rsidRPr="002150BE" w:rsidRDefault="00901755" w:rsidP="00901755">
            <w:pPr>
              <w:spacing w:after="0" w:line="240" w:lineRule="auto"/>
              <w:jc w:val="center"/>
              <w:rPr>
                <w:rFonts w:asciiTheme="minorHAnsi" w:hAnsiTheme="minorHAnsi" w:cstheme="minorHAnsi"/>
                <w:sz w:val="18"/>
                <w:szCs w:val="18"/>
                <w:lang w:eastAsia="es-MX"/>
              </w:rPr>
            </w:pPr>
            <w:r w:rsidRPr="002150BE">
              <w:rPr>
                <w:rFonts w:asciiTheme="minorHAnsi" w:hAnsiTheme="minorHAnsi" w:cstheme="minorHAnsi"/>
                <w:color w:val="000000"/>
                <w:sz w:val="22"/>
              </w:rPr>
              <w:t>Inclusión de listas de verificación y recepción digital de copias para agilizar la validación.</w:t>
            </w:r>
          </w:p>
        </w:tc>
        <w:tc>
          <w:tcPr>
            <w:tcW w:w="256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5F3DDB26" w14:textId="0EAA21F7" w:rsidR="00901755" w:rsidRPr="002150BE" w:rsidRDefault="00901755" w:rsidP="00901755">
            <w:pPr>
              <w:spacing w:after="0" w:line="240" w:lineRule="auto"/>
              <w:jc w:val="center"/>
              <w:rPr>
                <w:rFonts w:asciiTheme="minorHAnsi" w:hAnsiTheme="minorHAnsi" w:cstheme="minorHAnsi"/>
                <w:sz w:val="18"/>
                <w:szCs w:val="18"/>
                <w:lang w:eastAsia="es-MX"/>
              </w:rPr>
            </w:pPr>
            <w:r w:rsidRPr="002150BE">
              <w:rPr>
                <w:rFonts w:asciiTheme="minorHAnsi" w:hAnsiTheme="minorHAnsi" w:cstheme="minorHAnsi"/>
                <w:color w:val="000000"/>
                <w:sz w:val="22"/>
              </w:rPr>
              <w:t>La revisión documental se realiza en ventanilla y depende de la experiencia de la persona que atiende; esto puede generar tiempos de espera prolongados y retrabajos cuando falta algún documento.</w:t>
            </w:r>
          </w:p>
        </w:tc>
        <w:tc>
          <w:tcPr>
            <w:tcW w:w="273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30D20C9" w14:textId="2FE5B1F6" w:rsidR="00901755" w:rsidRPr="002150BE" w:rsidRDefault="00901755" w:rsidP="00901755">
            <w:pPr>
              <w:spacing w:after="0" w:line="240" w:lineRule="auto"/>
              <w:jc w:val="center"/>
              <w:rPr>
                <w:rFonts w:asciiTheme="minorHAnsi" w:hAnsiTheme="minorHAnsi" w:cstheme="minorHAnsi"/>
                <w:sz w:val="18"/>
                <w:szCs w:val="18"/>
                <w:lang w:eastAsia="es-MX"/>
              </w:rPr>
            </w:pPr>
            <w:r w:rsidRPr="002150BE">
              <w:rPr>
                <w:rFonts w:asciiTheme="minorHAnsi" w:hAnsiTheme="minorHAnsi" w:cstheme="minorHAnsi"/>
                <w:color w:val="000000"/>
                <w:sz w:val="22"/>
              </w:rPr>
              <w:t>Incorporar un checklist impreso y digital de requisitos que se entregue desde la publicación de aceptados y permitir que los estudiantes carguen copias escaneadas antes de la cita presencial, de forma que la revisión en ventanilla se limite a cotejo de originales y firma de la carta de autorización.</w:t>
            </w:r>
          </w:p>
        </w:tc>
      </w:tr>
      <w:tr w:rsidR="00901755" w:rsidRPr="002150BE" w14:paraId="2DE6774F" w14:textId="77777777" w:rsidTr="00901755">
        <w:trPr>
          <w:trHeight w:val="260"/>
        </w:trPr>
        <w:tc>
          <w:tcPr>
            <w:tcW w:w="13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0DC78C03" w14:textId="19E8EACF" w:rsidR="00901755" w:rsidRPr="002150BE" w:rsidRDefault="00901755" w:rsidP="00901755">
            <w:pPr>
              <w:spacing w:after="0" w:line="240" w:lineRule="auto"/>
              <w:jc w:val="center"/>
              <w:rPr>
                <w:rFonts w:asciiTheme="minorHAnsi" w:hAnsiTheme="minorHAnsi" w:cstheme="minorHAnsi"/>
                <w:sz w:val="18"/>
                <w:szCs w:val="18"/>
                <w:lang w:eastAsia="es-MX"/>
              </w:rPr>
            </w:pPr>
            <w:r w:rsidRPr="002150BE">
              <w:rPr>
                <w:rFonts w:asciiTheme="minorHAnsi" w:hAnsiTheme="minorHAnsi" w:cstheme="minorHAnsi"/>
                <w:color w:val="000000"/>
                <w:sz w:val="22"/>
              </w:rPr>
              <w:t>Proceso 4–5. Asignar matrícula y usuario de sistema de control escolar</w:t>
            </w:r>
          </w:p>
        </w:tc>
        <w:tc>
          <w:tcPr>
            <w:tcW w:w="215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3B52FF32" w14:textId="1784C2C5" w:rsidR="00901755" w:rsidRPr="002150BE" w:rsidRDefault="00901755" w:rsidP="00901755">
            <w:pPr>
              <w:spacing w:after="0" w:line="240" w:lineRule="auto"/>
              <w:jc w:val="center"/>
              <w:rPr>
                <w:rFonts w:asciiTheme="minorHAnsi" w:hAnsiTheme="minorHAnsi" w:cstheme="minorHAnsi"/>
                <w:sz w:val="18"/>
                <w:szCs w:val="18"/>
                <w:lang w:eastAsia="es-MX"/>
              </w:rPr>
            </w:pPr>
            <w:r w:rsidRPr="002150BE">
              <w:rPr>
                <w:rFonts w:asciiTheme="minorHAnsi" w:hAnsiTheme="minorHAnsi" w:cstheme="minorHAnsi"/>
                <w:color w:val="000000"/>
                <w:sz w:val="22"/>
              </w:rPr>
              <w:t>Integrar ambos pasos en un único registro automatizado.</w:t>
            </w:r>
          </w:p>
        </w:tc>
        <w:tc>
          <w:tcPr>
            <w:tcW w:w="256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7A14EC2A" w14:textId="5B30C28D" w:rsidR="00901755" w:rsidRPr="002150BE" w:rsidRDefault="00901755" w:rsidP="00901755">
            <w:pPr>
              <w:spacing w:after="0" w:line="240" w:lineRule="auto"/>
              <w:jc w:val="center"/>
              <w:rPr>
                <w:rFonts w:asciiTheme="minorHAnsi" w:hAnsiTheme="minorHAnsi" w:cstheme="minorHAnsi"/>
                <w:sz w:val="18"/>
                <w:szCs w:val="18"/>
                <w:lang w:eastAsia="es-MX"/>
              </w:rPr>
            </w:pPr>
            <w:r w:rsidRPr="002150BE">
              <w:rPr>
                <w:rFonts w:asciiTheme="minorHAnsi" w:hAnsiTheme="minorHAnsi" w:cstheme="minorHAnsi"/>
                <w:color w:val="000000"/>
                <w:sz w:val="22"/>
              </w:rPr>
              <w:t>Actualmente la asignación de matrícula y la generación de usuario pueden realizarse como acciones separadas, lo que implica riesgo de errores de captura o tiempos adicionales entre un paso y otro.</w:t>
            </w:r>
          </w:p>
        </w:tc>
        <w:tc>
          <w:tcPr>
            <w:tcW w:w="273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B500A5" w14:textId="78A483E5" w:rsidR="00901755" w:rsidRPr="002150BE" w:rsidRDefault="00901755" w:rsidP="00901755">
            <w:pPr>
              <w:spacing w:after="0" w:line="240" w:lineRule="auto"/>
              <w:jc w:val="center"/>
              <w:rPr>
                <w:rFonts w:asciiTheme="minorHAnsi" w:hAnsiTheme="minorHAnsi" w:cstheme="minorHAnsi"/>
                <w:sz w:val="18"/>
                <w:szCs w:val="18"/>
                <w:lang w:eastAsia="es-MX"/>
              </w:rPr>
            </w:pPr>
            <w:r w:rsidRPr="002150BE">
              <w:rPr>
                <w:rFonts w:asciiTheme="minorHAnsi" w:hAnsiTheme="minorHAnsi" w:cstheme="minorHAnsi"/>
                <w:color w:val="000000"/>
                <w:sz w:val="22"/>
              </w:rPr>
              <w:t>Diseñar un módulo único de “alta de estudiante” que, a partir del expediente validado, genere automáticamente la matrícula y el usuario del sistema de control escolar, reduciendo duplicidad de registros y mejorando la trazabilidad del expediente.</w:t>
            </w:r>
          </w:p>
        </w:tc>
      </w:tr>
      <w:tr w:rsidR="00901755" w:rsidRPr="002150BE" w14:paraId="173E9820" w14:textId="77777777" w:rsidTr="00901755">
        <w:trPr>
          <w:trHeight w:val="260"/>
        </w:trPr>
        <w:tc>
          <w:tcPr>
            <w:tcW w:w="13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38C49FED" w14:textId="5A64DEE0" w:rsidR="00901755" w:rsidRPr="002150BE" w:rsidRDefault="00901755" w:rsidP="00901755">
            <w:pPr>
              <w:spacing w:after="0" w:line="240" w:lineRule="auto"/>
              <w:jc w:val="center"/>
              <w:rPr>
                <w:rFonts w:asciiTheme="minorHAnsi" w:hAnsiTheme="minorHAnsi" w:cstheme="minorHAnsi"/>
                <w:sz w:val="18"/>
                <w:szCs w:val="18"/>
                <w:lang w:eastAsia="es-MX"/>
              </w:rPr>
            </w:pPr>
            <w:r w:rsidRPr="002150BE">
              <w:rPr>
                <w:rFonts w:asciiTheme="minorHAnsi" w:hAnsiTheme="minorHAnsi" w:cstheme="minorHAnsi"/>
                <w:color w:val="000000"/>
                <w:sz w:val="22"/>
              </w:rPr>
              <w:t>Proceso 7. Imprimir la credencial</w:t>
            </w:r>
          </w:p>
        </w:tc>
        <w:tc>
          <w:tcPr>
            <w:tcW w:w="215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6A380C2E" w14:textId="6AC72CC9" w:rsidR="00901755" w:rsidRPr="002150BE" w:rsidRDefault="00901755" w:rsidP="00901755">
            <w:pPr>
              <w:spacing w:after="0" w:line="240" w:lineRule="auto"/>
              <w:jc w:val="center"/>
              <w:rPr>
                <w:rFonts w:asciiTheme="minorHAnsi" w:hAnsiTheme="minorHAnsi" w:cstheme="minorHAnsi"/>
                <w:sz w:val="18"/>
                <w:szCs w:val="18"/>
                <w:lang w:eastAsia="es-MX"/>
              </w:rPr>
            </w:pPr>
            <w:r w:rsidRPr="002150BE">
              <w:rPr>
                <w:rFonts w:asciiTheme="minorHAnsi" w:hAnsiTheme="minorHAnsi" w:cstheme="minorHAnsi"/>
                <w:color w:val="000000"/>
                <w:sz w:val="22"/>
              </w:rPr>
              <w:t>Organización de citas para toma de fotografía e inclusión de credencial digital.</w:t>
            </w:r>
          </w:p>
        </w:tc>
        <w:tc>
          <w:tcPr>
            <w:tcW w:w="256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03382CB0" w14:textId="760E0D0F" w:rsidR="00901755" w:rsidRPr="002150BE" w:rsidRDefault="00901755" w:rsidP="00901755">
            <w:pPr>
              <w:spacing w:after="0" w:line="240" w:lineRule="auto"/>
              <w:jc w:val="center"/>
              <w:rPr>
                <w:rFonts w:asciiTheme="minorHAnsi" w:hAnsiTheme="minorHAnsi" w:cstheme="minorHAnsi"/>
                <w:sz w:val="18"/>
                <w:szCs w:val="18"/>
                <w:lang w:eastAsia="es-MX"/>
              </w:rPr>
            </w:pPr>
            <w:r w:rsidRPr="002150BE">
              <w:rPr>
                <w:rFonts w:asciiTheme="minorHAnsi" w:hAnsiTheme="minorHAnsi" w:cstheme="minorHAnsi"/>
                <w:color w:val="000000"/>
                <w:sz w:val="22"/>
              </w:rPr>
              <w:t>La toma de fotografía y la entrega de credencial tienden a concentrarse en los primeros días de clases, generando filas y tiempos de espera, además de que la reposición física implica costos adicionales.</w:t>
            </w:r>
          </w:p>
        </w:tc>
        <w:tc>
          <w:tcPr>
            <w:tcW w:w="273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17059A" w14:textId="1417E3F9" w:rsidR="00901755" w:rsidRPr="002150BE" w:rsidRDefault="00901755" w:rsidP="00901755">
            <w:pPr>
              <w:spacing w:after="0" w:line="240" w:lineRule="auto"/>
              <w:jc w:val="center"/>
              <w:rPr>
                <w:rFonts w:asciiTheme="minorHAnsi" w:hAnsiTheme="minorHAnsi" w:cstheme="minorHAnsi"/>
                <w:sz w:val="18"/>
                <w:szCs w:val="18"/>
                <w:lang w:eastAsia="es-MX"/>
              </w:rPr>
            </w:pPr>
            <w:r w:rsidRPr="002150BE">
              <w:rPr>
                <w:rFonts w:asciiTheme="minorHAnsi" w:hAnsiTheme="minorHAnsi" w:cstheme="minorHAnsi"/>
                <w:color w:val="000000"/>
                <w:sz w:val="22"/>
              </w:rPr>
              <w:t>Establecer citas escalonadas para la toma de fotografía durante el periodo de inscripción y habilitar una versión digital de la credencial en la plataforma institucional o app, que pueda utilizarse de manera complementaria a la física para trámites internos.</w:t>
            </w:r>
          </w:p>
        </w:tc>
      </w:tr>
    </w:tbl>
    <w:p w14:paraId="2D6C18B5" w14:textId="77777777" w:rsidR="00C3311E" w:rsidRPr="002150BE" w:rsidRDefault="00C3311E" w:rsidP="00AD62D4">
      <w:pPr>
        <w:rPr>
          <w:rFonts w:asciiTheme="minorHAnsi" w:hAnsiTheme="minorHAnsi" w:cstheme="minorHAnsi"/>
          <w:lang w:val="es-ES"/>
        </w:rPr>
      </w:pPr>
    </w:p>
    <w:p w14:paraId="7DC8215F" w14:textId="77777777" w:rsidR="00C3311E" w:rsidRPr="002150BE" w:rsidRDefault="00C3311E" w:rsidP="00AD62D4">
      <w:pPr>
        <w:rPr>
          <w:rFonts w:asciiTheme="minorHAnsi" w:hAnsiTheme="minorHAnsi" w:cstheme="minorHAnsi"/>
          <w:lang w:val="es-ES"/>
        </w:rPr>
      </w:pPr>
    </w:p>
    <w:tbl>
      <w:tblPr>
        <w:tblW w:w="0" w:type="auto"/>
        <w:tblLayout w:type="fixed"/>
        <w:tblCellMar>
          <w:left w:w="70" w:type="dxa"/>
          <w:right w:w="70" w:type="dxa"/>
        </w:tblCellMar>
        <w:tblLook w:val="04A0" w:firstRow="1" w:lastRow="0" w:firstColumn="1" w:lastColumn="0" w:noHBand="0" w:noVBand="1"/>
      </w:tblPr>
      <w:tblGrid>
        <w:gridCol w:w="873"/>
        <w:gridCol w:w="256"/>
        <w:gridCol w:w="1752"/>
        <w:gridCol w:w="1030"/>
        <w:gridCol w:w="1030"/>
        <w:gridCol w:w="583"/>
        <w:gridCol w:w="440"/>
        <w:gridCol w:w="1023"/>
        <w:gridCol w:w="160"/>
        <w:gridCol w:w="1026"/>
        <w:gridCol w:w="162"/>
        <w:gridCol w:w="161"/>
        <w:gridCol w:w="160"/>
        <w:gridCol w:w="172"/>
      </w:tblGrid>
      <w:tr w:rsidR="00603217" w:rsidRPr="002150BE" w14:paraId="1CE4BC4D" w14:textId="77777777" w:rsidTr="00901755">
        <w:trPr>
          <w:trHeight w:val="397"/>
        </w:trPr>
        <w:tc>
          <w:tcPr>
            <w:tcW w:w="8828"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04040" w:themeFill="text1" w:themeFillTint="BF"/>
            <w:vAlign w:val="center"/>
            <w:hideMark/>
          </w:tcPr>
          <w:p w14:paraId="01B521F7" w14:textId="77777777" w:rsidR="00603217" w:rsidRPr="002150BE" w:rsidRDefault="00603217" w:rsidP="00603217">
            <w:pPr>
              <w:spacing w:after="0" w:line="240" w:lineRule="auto"/>
              <w:jc w:val="center"/>
              <w:rPr>
                <w:rFonts w:asciiTheme="minorHAnsi" w:hAnsiTheme="minorHAnsi" w:cstheme="minorHAnsi"/>
                <w:b/>
                <w:color w:val="FFFFFF" w:themeColor="background1"/>
                <w:sz w:val="18"/>
                <w:lang w:eastAsia="es-MX"/>
              </w:rPr>
            </w:pPr>
            <w:r w:rsidRPr="002150BE">
              <w:rPr>
                <w:rFonts w:asciiTheme="minorHAnsi" w:hAnsiTheme="minorHAnsi" w:cstheme="minorHAnsi"/>
                <w:b/>
                <w:color w:val="FFFFFF" w:themeColor="background1"/>
                <w:sz w:val="18"/>
              </w:rPr>
              <w:lastRenderedPageBreak/>
              <w:br w:type="page"/>
            </w:r>
            <w:bookmarkStart w:id="68" w:name="RANGE!A1:R33"/>
            <w:r w:rsidRPr="002150BE">
              <w:rPr>
                <w:rFonts w:asciiTheme="minorHAnsi" w:hAnsiTheme="minorHAnsi" w:cstheme="minorHAnsi"/>
                <w:b/>
                <w:color w:val="FFFFFF" w:themeColor="background1"/>
                <w:lang w:eastAsia="es-MX"/>
              </w:rPr>
              <w:t>Anexo 6. Mecanismo de entrega</w:t>
            </w:r>
            <w:bookmarkEnd w:id="68"/>
          </w:p>
        </w:tc>
      </w:tr>
      <w:tr w:rsidR="00603217" w:rsidRPr="002150BE" w14:paraId="0BC5C821" w14:textId="77777777" w:rsidTr="00901755">
        <w:trPr>
          <w:trHeight w:val="343"/>
        </w:trPr>
        <w:tc>
          <w:tcPr>
            <w:tcW w:w="8828"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F7F7F" w:themeFill="text1" w:themeFillTint="80"/>
            <w:noWrap/>
            <w:vAlign w:val="center"/>
            <w:hideMark/>
          </w:tcPr>
          <w:p w14:paraId="021C1E5F" w14:textId="77777777" w:rsidR="00603217" w:rsidRPr="002150BE" w:rsidRDefault="00603217" w:rsidP="00603217">
            <w:pPr>
              <w:spacing w:after="0" w:line="240" w:lineRule="auto"/>
              <w:jc w:val="center"/>
              <w:rPr>
                <w:rFonts w:asciiTheme="minorHAnsi" w:hAnsiTheme="minorHAnsi" w:cstheme="minorHAnsi"/>
                <w:b/>
                <w:color w:val="FFFFFF" w:themeColor="background1"/>
                <w:sz w:val="18"/>
                <w:lang w:eastAsia="es-MX"/>
              </w:rPr>
            </w:pPr>
            <w:r w:rsidRPr="002150BE">
              <w:rPr>
                <w:rFonts w:asciiTheme="minorHAnsi" w:hAnsiTheme="minorHAnsi" w:cstheme="minorHAnsi"/>
                <w:b/>
                <w:color w:val="FFFFFF" w:themeColor="background1"/>
                <w:sz w:val="18"/>
                <w:lang w:eastAsia="es-MX"/>
              </w:rPr>
              <w:t>Flujograma</w:t>
            </w:r>
          </w:p>
        </w:tc>
      </w:tr>
      <w:tr w:rsidR="00901755" w:rsidRPr="002150BE" w14:paraId="6DDC8829" w14:textId="77777777" w:rsidTr="00901755">
        <w:trPr>
          <w:trHeight w:val="254"/>
        </w:trPr>
        <w:tc>
          <w:tcPr>
            <w:tcW w:w="3911" w:type="dxa"/>
            <w:gridSpan w:val="4"/>
            <w:tcBorders>
              <w:top w:val="single" w:sz="4" w:space="0" w:color="BFBFBF" w:themeColor="background1" w:themeShade="BF"/>
              <w:left w:val="single" w:sz="4" w:space="0" w:color="BFBFBF" w:themeColor="background1" w:themeShade="BF"/>
              <w:bottom w:val="nil"/>
              <w:right w:val="nil"/>
            </w:tcBorders>
            <w:noWrap/>
            <w:vAlign w:val="bottom"/>
          </w:tcPr>
          <w:p w14:paraId="6478BF20" w14:textId="61525A45" w:rsidR="00603217" w:rsidRPr="002150BE" w:rsidRDefault="00603217" w:rsidP="00603217">
            <w:pPr>
              <w:spacing w:after="0" w:line="240" w:lineRule="auto"/>
              <w:rPr>
                <w:rFonts w:asciiTheme="minorHAnsi" w:hAnsiTheme="minorHAnsi" w:cstheme="minorHAnsi"/>
                <w:color w:val="000000"/>
                <w:sz w:val="18"/>
                <w:lang w:eastAsia="es-MX"/>
              </w:rPr>
            </w:pPr>
          </w:p>
        </w:tc>
        <w:tc>
          <w:tcPr>
            <w:tcW w:w="1030" w:type="dxa"/>
            <w:tcBorders>
              <w:top w:val="single" w:sz="4" w:space="0" w:color="BFBFBF" w:themeColor="background1" w:themeShade="BF"/>
              <w:left w:val="nil"/>
              <w:bottom w:val="nil"/>
              <w:right w:val="nil"/>
            </w:tcBorders>
            <w:noWrap/>
            <w:vAlign w:val="center"/>
          </w:tcPr>
          <w:p w14:paraId="07490E89" w14:textId="77777777" w:rsidR="00603217" w:rsidRPr="002150BE" w:rsidRDefault="00603217" w:rsidP="00603217">
            <w:pPr>
              <w:spacing w:after="0" w:line="240" w:lineRule="auto"/>
              <w:rPr>
                <w:rFonts w:asciiTheme="minorHAnsi" w:hAnsiTheme="minorHAnsi" w:cstheme="minorHAnsi"/>
                <w:sz w:val="18"/>
                <w:lang w:eastAsia="es-MX"/>
              </w:rPr>
            </w:pPr>
          </w:p>
        </w:tc>
        <w:tc>
          <w:tcPr>
            <w:tcW w:w="1023" w:type="dxa"/>
            <w:gridSpan w:val="2"/>
            <w:tcBorders>
              <w:top w:val="single" w:sz="4" w:space="0" w:color="BFBFBF" w:themeColor="background1" w:themeShade="BF"/>
              <w:left w:val="nil"/>
              <w:bottom w:val="nil"/>
              <w:right w:val="nil"/>
            </w:tcBorders>
            <w:noWrap/>
            <w:vAlign w:val="center"/>
          </w:tcPr>
          <w:p w14:paraId="18BF646E" w14:textId="77777777" w:rsidR="00603217" w:rsidRPr="002150BE" w:rsidRDefault="00603217" w:rsidP="00603217">
            <w:pPr>
              <w:spacing w:after="0" w:line="240" w:lineRule="auto"/>
              <w:rPr>
                <w:rFonts w:asciiTheme="minorHAnsi" w:hAnsiTheme="minorHAnsi" w:cstheme="minorHAnsi"/>
                <w:sz w:val="18"/>
                <w:lang w:eastAsia="es-MX"/>
              </w:rPr>
            </w:pPr>
          </w:p>
        </w:tc>
        <w:tc>
          <w:tcPr>
            <w:tcW w:w="1023" w:type="dxa"/>
            <w:tcBorders>
              <w:top w:val="single" w:sz="4" w:space="0" w:color="BFBFBF" w:themeColor="background1" w:themeShade="BF"/>
              <w:left w:val="nil"/>
              <w:bottom w:val="nil"/>
              <w:right w:val="nil"/>
            </w:tcBorders>
            <w:noWrap/>
            <w:vAlign w:val="center"/>
          </w:tcPr>
          <w:p w14:paraId="017C8E75" w14:textId="77777777" w:rsidR="00603217" w:rsidRPr="002150BE" w:rsidRDefault="00603217" w:rsidP="00603217">
            <w:pPr>
              <w:spacing w:after="0" w:line="240" w:lineRule="auto"/>
              <w:rPr>
                <w:rFonts w:asciiTheme="minorHAnsi" w:hAnsiTheme="minorHAnsi" w:cstheme="minorHAnsi"/>
                <w:sz w:val="18"/>
                <w:lang w:eastAsia="es-MX"/>
              </w:rPr>
            </w:pPr>
          </w:p>
        </w:tc>
        <w:tc>
          <w:tcPr>
            <w:tcW w:w="1186" w:type="dxa"/>
            <w:gridSpan w:val="2"/>
            <w:tcBorders>
              <w:top w:val="single" w:sz="4" w:space="0" w:color="BFBFBF" w:themeColor="background1" w:themeShade="BF"/>
              <w:left w:val="nil"/>
              <w:bottom w:val="nil"/>
              <w:right w:val="nil"/>
            </w:tcBorders>
            <w:noWrap/>
            <w:vAlign w:val="center"/>
          </w:tcPr>
          <w:p w14:paraId="2271BE5A" w14:textId="176A530A" w:rsidR="00603217" w:rsidRPr="002150BE" w:rsidRDefault="00603217" w:rsidP="00603217">
            <w:pPr>
              <w:spacing w:after="0" w:line="240" w:lineRule="auto"/>
              <w:jc w:val="center"/>
              <w:rPr>
                <w:rFonts w:asciiTheme="minorHAnsi" w:hAnsiTheme="minorHAnsi" w:cstheme="minorHAnsi"/>
                <w:b/>
                <w:i/>
                <w:iCs/>
                <w:color w:val="262626"/>
                <w:sz w:val="18"/>
                <w:lang w:eastAsia="es-MX"/>
              </w:rPr>
            </w:pPr>
          </w:p>
        </w:tc>
        <w:tc>
          <w:tcPr>
            <w:tcW w:w="162" w:type="dxa"/>
            <w:tcBorders>
              <w:top w:val="single" w:sz="4" w:space="0" w:color="BFBFBF" w:themeColor="background1" w:themeShade="BF"/>
              <w:left w:val="nil"/>
              <w:bottom w:val="nil"/>
              <w:right w:val="nil"/>
            </w:tcBorders>
            <w:noWrap/>
            <w:vAlign w:val="center"/>
            <w:hideMark/>
          </w:tcPr>
          <w:p w14:paraId="00A03DBF" w14:textId="77777777" w:rsidR="00603217" w:rsidRPr="002150BE" w:rsidRDefault="00603217" w:rsidP="00603217">
            <w:pPr>
              <w:spacing w:after="0" w:line="240" w:lineRule="auto"/>
              <w:rPr>
                <w:rFonts w:asciiTheme="minorHAnsi" w:hAnsiTheme="minorHAnsi" w:cstheme="minorHAnsi"/>
                <w:i/>
                <w:iCs/>
                <w:color w:val="262626"/>
                <w:sz w:val="18"/>
                <w:lang w:eastAsia="es-MX"/>
              </w:rPr>
            </w:pPr>
          </w:p>
        </w:tc>
        <w:tc>
          <w:tcPr>
            <w:tcW w:w="161" w:type="dxa"/>
            <w:tcBorders>
              <w:top w:val="single" w:sz="4" w:space="0" w:color="BFBFBF" w:themeColor="background1" w:themeShade="BF"/>
              <w:left w:val="nil"/>
              <w:bottom w:val="nil"/>
              <w:right w:val="nil"/>
            </w:tcBorders>
            <w:noWrap/>
            <w:vAlign w:val="center"/>
            <w:hideMark/>
          </w:tcPr>
          <w:p w14:paraId="1E6D6619" w14:textId="77777777" w:rsidR="00603217" w:rsidRPr="002150BE" w:rsidRDefault="00603217" w:rsidP="00603217">
            <w:pPr>
              <w:spacing w:after="0" w:line="240" w:lineRule="auto"/>
              <w:rPr>
                <w:rFonts w:asciiTheme="minorHAnsi" w:hAnsiTheme="minorHAnsi" w:cstheme="minorHAnsi"/>
                <w:sz w:val="18"/>
                <w:lang w:eastAsia="es-MX"/>
              </w:rPr>
            </w:pPr>
          </w:p>
        </w:tc>
        <w:tc>
          <w:tcPr>
            <w:tcW w:w="160" w:type="dxa"/>
            <w:tcBorders>
              <w:top w:val="single" w:sz="4" w:space="0" w:color="BFBFBF" w:themeColor="background1" w:themeShade="BF"/>
              <w:left w:val="nil"/>
              <w:bottom w:val="nil"/>
              <w:right w:val="nil"/>
            </w:tcBorders>
            <w:noWrap/>
            <w:vAlign w:val="center"/>
            <w:hideMark/>
          </w:tcPr>
          <w:p w14:paraId="65F29486" w14:textId="77777777" w:rsidR="00603217" w:rsidRPr="002150BE" w:rsidRDefault="00603217" w:rsidP="00603217">
            <w:pPr>
              <w:spacing w:after="0" w:line="240" w:lineRule="auto"/>
              <w:rPr>
                <w:rFonts w:asciiTheme="minorHAnsi" w:hAnsiTheme="minorHAnsi" w:cstheme="minorHAnsi"/>
                <w:sz w:val="18"/>
                <w:lang w:eastAsia="es-MX"/>
              </w:rPr>
            </w:pPr>
          </w:p>
        </w:tc>
        <w:tc>
          <w:tcPr>
            <w:tcW w:w="172" w:type="dxa"/>
            <w:tcBorders>
              <w:top w:val="single" w:sz="4" w:space="0" w:color="BFBFBF" w:themeColor="background1" w:themeShade="BF"/>
              <w:left w:val="nil"/>
              <w:bottom w:val="nil"/>
              <w:right w:val="single" w:sz="4" w:space="0" w:color="BFBFBF" w:themeColor="background1" w:themeShade="BF"/>
            </w:tcBorders>
            <w:noWrap/>
            <w:vAlign w:val="center"/>
            <w:hideMark/>
          </w:tcPr>
          <w:p w14:paraId="2638D8A9" w14:textId="77777777" w:rsidR="00603217" w:rsidRPr="002150BE" w:rsidRDefault="00603217" w:rsidP="00603217">
            <w:pPr>
              <w:spacing w:after="0" w:line="240" w:lineRule="auto"/>
              <w:rPr>
                <w:rFonts w:asciiTheme="minorHAnsi" w:hAnsiTheme="minorHAnsi" w:cstheme="minorHAnsi"/>
                <w:color w:val="262626"/>
                <w:sz w:val="18"/>
                <w:lang w:eastAsia="es-MX"/>
              </w:rPr>
            </w:pPr>
            <w:r w:rsidRPr="002150BE">
              <w:rPr>
                <w:rFonts w:asciiTheme="minorHAnsi" w:hAnsiTheme="minorHAnsi" w:cstheme="minorHAnsi"/>
                <w:color w:val="262626"/>
                <w:sz w:val="18"/>
                <w:lang w:eastAsia="es-MX"/>
              </w:rPr>
              <w:t> </w:t>
            </w:r>
          </w:p>
        </w:tc>
      </w:tr>
      <w:tr w:rsidR="00901755" w:rsidRPr="002150BE" w14:paraId="39C8DD7E" w14:textId="77777777" w:rsidTr="00901755">
        <w:tblPrEx>
          <w:tblLook w:val="0480" w:firstRow="0" w:lastRow="0" w:firstColumn="1" w:lastColumn="0" w:noHBand="0" w:noVBand="1"/>
        </w:tblPrEx>
        <w:trPr>
          <w:trHeight w:val="298"/>
        </w:trPr>
        <w:tc>
          <w:tcPr>
            <w:tcW w:w="873" w:type="dxa"/>
            <w:tcBorders>
              <w:top w:val="nil"/>
              <w:left w:val="single" w:sz="4" w:space="0" w:color="BFBFBF" w:themeColor="background1" w:themeShade="BF"/>
              <w:bottom w:val="nil"/>
              <w:right w:val="nil"/>
            </w:tcBorders>
            <w:noWrap/>
            <w:vAlign w:val="center"/>
          </w:tcPr>
          <w:p w14:paraId="406072A6" w14:textId="5DA6E6A3" w:rsidR="00603217" w:rsidRPr="002150BE" w:rsidRDefault="00603217" w:rsidP="00603217">
            <w:pPr>
              <w:spacing w:after="0" w:line="240" w:lineRule="auto"/>
              <w:jc w:val="center"/>
              <w:rPr>
                <w:rFonts w:asciiTheme="minorHAnsi" w:hAnsiTheme="minorHAnsi" w:cstheme="minorHAnsi"/>
                <w:b/>
                <w:color w:val="000000"/>
                <w:sz w:val="18"/>
                <w:lang w:eastAsia="es-MX"/>
              </w:rPr>
            </w:pPr>
          </w:p>
        </w:tc>
        <w:tc>
          <w:tcPr>
            <w:tcW w:w="2008" w:type="dxa"/>
            <w:gridSpan w:val="2"/>
            <w:vMerge w:val="restart"/>
            <w:tcBorders>
              <w:top w:val="nil"/>
              <w:left w:val="nil"/>
              <w:bottom w:val="nil"/>
              <w:right w:val="nil"/>
            </w:tcBorders>
          </w:tcPr>
          <w:p w14:paraId="4F1B178E" w14:textId="65007575" w:rsidR="00603217" w:rsidRPr="002150BE" w:rsidRDefault="00603217" w:rsidP="00603217">
            <w:pPr>
              <w:spacing w:after="0" w:line="240" w:lineRule="auto"/>
              <w:rPr>
                <w:rFonts w:asciiTheme="minorHAnsi" w:hAnsiTheme="minorHAnsi" w:cstheme="minorHAnsi"/>
                <w:color w:val="262626"/>
                <w:sz w:val="18"/>
                <w:lang w:eastAsia="es-MX"/>
              </w:rPr>
            </w:pPr>
          </w:p>
        </w:tc>
        <w:tc>
          <w:tcPr>
            <w:tcW w:w="1030" w:type="dxa"/>
            <w:tcBorders>
              <w:top w:val="nil"/>
              <w:left w:val="nil"/>
              <w:bottom w:val="nil"/>
              <w:right w:val="nil"/>
            </w:tcBorders>
            <w:vAlign w:val="center"/>
          </w:tcPr>
          <w:p w14:paraId="5D6386D7" w14:textId="77777777" w:rsidR="00603217" w:rsidRPr="002150BE" w:rsidRDefault="00603217" w:rsidP="00603217">
            <w:pPr>
              <w:spacing w:after="0" w:line="240" w:lineRule="auto"/>
              <w:rPr>
                <w:rFonts w:asciiTheme="minorHAnsi" w:hAnsiTheme="minorHAnsi" w:cstheme="minorHAnsi"/>
                <w:color w:val="262626"/>
                <w:sz w:val="18"/>
                <w:lang w:eastAsia="es-MX"/>
              </w:rPr>
            </w:pPr>
          </w:p>
        </w:tc>
        <w:tc>
          <w:tcPr>
            <w:tcW w:w="1030" w:type="dxa"/>
            <w:tcBorders>
              <w:top w:val="nil"/>
              <w:left w:val="nil"/>
              <w:bottom w:val="nil"/>
              <w:right w:val="nil"/>
            </w:tcBorders>
            <w:vAlign w:val="center"/>
          </w:tcPr>
          <w:p w14:paraId="4E38C14B" w14:textId="77777777" w:rsidR="00603217" w:rsidRPr="002150BE" w:rsidRDefault="00603217" w:rsidP="00603217">
            <w:pPr>
              <w:spacing w:after="0" w:line="240" w:lineRule="auto"/>
              <w:rPr>
                <w:rFonts w:asciiTheme="minorHAnsi" w:hAnsiTheme="minorHAnsi" w:cstheme="minorHAnsi"/>
                <w:sz w:val="18"/>
                <w:lang w:eastAsia="es-MX"/>
              </w:rPr>
            </w:pPr>
          </w:p>
        </w:tc>
        <w:tc>
          <w:tcPr>
            <w:tcW w:w="1023" w:type="dxa"/>
            <w:gridSpan w:val="2"/>
            <w:tcBorders>
              <w:top w:val="nil"/>
              <w:left w:val="nil"/>
              <w:bottom w:val="nil"/>
              <w:right w:val="nil"/>
            </w:tcBorders>
            <w:vAlign w:val="center"/>
          </w:tcPr>
          <w:p w14:paraId="725C3641" w14:textId="77777777" w:rsidR="00603217" w:rsidRPr="002150BE" w:rsidRDefault="00603217" w:rsidP="00603217">
            <w:pPr>
              <w:spacing w:after="0" w:line="240" w:lineRule="auto"/>
              <w:rPr>
                <w:rFonts w:asciiTheme="minorHAnsi" w:hAnsiTheme="minorHAnsi" w:cstheme="minorHAnsi"/>
                <w:sz w:val="18"/>
                <w:lang w:eastAsia="es-MX"/>
              </w:rPr>
            </w:pPr>
          </w:p>
        </w:tc>
        <w:tc>
          <w:tcPr>
            <w:tcW w:w="1023" w:type="dxa"/>
            <w:tcBorders>
              <w:top w:val="nil"/>
              <w:left w:val="nil"/>
              <w:bottom w:val="nil"/>
              <w:right w:val="nil"/>
            </w:tcBorders>
            <w:noWrap/>
            <w:vAlign w:val="center"/>
          </w:tcPr>
          <w:p w14:paraId="569A5DEA" w14:textId="77777777" w:rsidR="00603217" w:rsidRPr="002150BE" w:rsidRDefault="00603217" w:rsidP="00603217">
            <w:pPr>
              <w:spacing w:after="0" w:line="240" w:lineRule="auto"/>
              <w:rPr>
                <w:rFonts w:asciiTheme="minorHAnsi" w:hAnsiTheme="minorHAnsi" w:cstheme="minorHAnsi"/>
                <w:sz w:val="18"/>
                <w:lang w:eastAsia="es-MX"/>
              </w:rPr>
            </w:pPr>
          </w:p>
        </w:tc>
        <w:tc>
          <w:tcPr>
            <w:tcW w:w="160" w:type="dxa"/>
            <w:tcBorders>
              <w:top w:val="nil"/>
              <w:left w:val="nil"/>
              <w:bottom w:val="nil"/>
              <w:right w:val="nil"/>
            </w:tcBorders>
            <w:noWrap/>
            <w:vAlign w:val="center"/>
          </w:tcPr>
          <w:p w14:paraId="7B11AF0C" w14:textId="77777777" w:rsidR="00603217" w:rsidRPr="002150BE" w:rsidRDefault="00603217" w:rsidP="00603217">
            <w:pPr>
              <w:spacing w:after="0" w:line="240" w:lineRule="auto"/>
              <w:rPr>
                <w:rFonts w:asciiTheme="minorHAnsi" w:hAnsiTheme="minorHAnsi" w:cstheme="minorHAnsi"/>
                <w:sz w:val="18"/>
                <w:lang w:eastAsia="es-MX"/>
              </w:rPr>
            </w:pPr>
          </w:p>
        </w:tc>
        <w:tc>
          <w:tcPr>
            <w:tcW w:w="1026" w:type="dxa"/>
            <w:tcBorders>
              <w:top w:val="nil"/>
              <w:left w:val="nil"/>
              <w:bottom w:val="nil"/>
              <w:right w:val="nil"/>
            </w:tcBorders>
            <w:vAlign w:val="center"/>
          </w:tcPr>
          <w:p w14:paraId="707565C7" w14:textId="77777777" w:rsidR="00603217" w:rsidRPr="002150BE" w:rsidRDefault="00603217" w:rsidP="00603217">
            <w:pPr>
              <w:spacing w:after="0" w:line="240" w:lineRule="auto"/>
              <w:rPr>
                <w:rFonts w:asciiTheme="minorHAnsi" w:hAnsiTheme="minorHAnsi" w:cstheme="minorHAnsi"/>
                <w:sz w:val="18"/>
                <w:lang w:eastAsia="es-MX"/>
              </w:rPr>
            </w:pPr>
          </w:p>
        </w:tc>
        <w:tc>
          <w:tcPr>
            <w:tcW w:w="162" w:type="dxa"/>
            <w:tcBorders>
              <w:top w:val="nil"/>
              <w:left w:val="nil"/>
              <w:bottom w:val="nil"/>
              <w:right w:val="nil"/>
            </w:tcBorders>
            <w:vAlign w:val="center"/>
            <w:hideMark/>
          </w:tcPr>
          <w:p w14:paraId="62CE7E66" w14:textId="77777777" w:rsidR="00603217" w:rsidRPr="002150BE" w:rsidRDefault="00603217" w:rsidP="00603217">
            <w:pPr>
              <w:spacing w:after="0" w:line="240" w:lineRule="auto"/>
              <w:rPr>
                <w:rFonts w:asciiTheme="minorHAnsi" w:hAnsiTheme="minorHAnsi" w:cstheme="minorHAnsi"/>
                <w:sz w:val="18"/>
                <w:lang w:eastAsia="es-MX"/>
              </w:rPr>
            </w:pPr>
          </w:p>
        </w:tc>
        <w:tc>
          <w:tcPr>
            <w:tcW w:w="161" w:type="dxa"/>
            <w:tcBorders>
              <w:top w:val="nil"/>
              <w:left w:val="nil"/>
              <w:bottom w:val="nil"/>
              <w:right w:val="nil"/>
            </w:tcBorders>
            <w:vAlign w:val="center"/>
            <w:hideMark/>
          </w:tcPr>
          <w:p w14:paraId="26D3F9AE" w14:textId="77777777" w:rsidR="00603217" w:rsidRPr="002150BE" w:rsidRDefault="00603217" w:rsidP="00603217">
            <w:pPr>
              <w:spacing w:after="0" w:line="240" w:lineRule="auto"/>
              <w:rPr>
                <w:rFonts w:asciiTheme="minorHAnsi" w:hAnsiTheme="minorHAnsi" w:cstheme="minorHAnsi"/>
                <w:sz w:val="18"/>
                <w:lang w:eastAsia="es-MX"/>
              </w:rPr>
            </w:pPr>
          </w:p>
        </w:tc>
        <w:tc>
          <w:tcPr>
            <w:tcW w:w="160" w:type="dxa"/>
            <w:tcBorders>
              <w:top w:val="nil"/>
              <w:left w:val="nil"/>
              <w:bottom w:val="nil"/>
              <w:right w:val="nil"/>
            </w:tcBorders>
            <w:vAlign w:val="center"/>
            <w:hideMark/>
          </w:tcPr>
          <w:p w14:paraId="2D1E4DE5" w14:textId="77777777" w:rsidR="00603217" w:rsidRPr="002150BE" w:rsidRDefault="00603217" w:rsidP="00603217">
            <w:pPr>
              <w:spacing w:after="0" w:line="240" w:lineRule="auto"/>
              <w:rPr>
                <w:rFonts w:asciiTheme="minorHAnsi" w:hAnsiTheme="minorHAnsi" w:cstheme="minorHAnsi"/>
                <w:sz w:val="18"/>
                <w:lang w:eastAsia="es-MX"/>
              </w:rPr>
            </w:pPr>
          </w:p>
        </w:tc>
        <w:tc>
          <w:tcPr>
            <w:tcW w:w="172" w:type="dxa"/>
            <w:tcBorders>
              <w:top w:val="nil"/>
              <w:left w:val="nil"/>
              <w:bottom w:val="nil"/>
              <w:right w:val="single" w:sz="4" w:space="0" w:color="BFBFBF" w:themeColor="background1" w:themeShade="BF"/>
            </w:tcBorders>
            <w:vAlign w:val="center"/>
            <w:hideMark/>
          </w:tcPr>
          <w:p w14:paraId="7E9F212E" w14:textId="77777777" w:rsidR="00603217" w:rsidRPr="002150BE" w:rsidRDefault="00603217" w:rsidP="00603217">
            <w:pPr>
              <w:spacing w:after="0" w:line="240" w:lineRule="auto"/>
              <w:rPr>
                <w:rFonts w:asciiTheme="minorHAnsi" w:hAnsiTheme="minorHAnsi" w:cstheme="minorHAnsi"/>
                <w:color w:val="262626"/>
                <w:sz w:val="18"/>
                <w:lang w:eastAsia="es-MX"/>
              </w:rPr>
            </w:pPr>
            <w:r w:rsidRPr="002150BE">
              <w:rPr>
                <w:rFonts w:asciiTheme="minorHAnsi" w:hAnsiTheme="minorHAnsi" w:cstheme="minorHAnsi"/>
                <w:color w:val="262626"/>
                <w:sz w:val="18"/>
                <w:lang w:eastAsia="es-MX"/>
              </w:rPr>
              <w:t> </w:t>
            </w:r>
          </w:p>
        </w:tc>
      </w:tr>
      <w:tr w:rsidR="00901755" w:rsidRPr="002150BE" w14:paraId="37B38FBD" w14:textId="77777777" w:rsidTr="00901755">
        <w:tblPrEx>
          <w:tblLook w:val="0480" w:firstRow="0" w:lastRow="0" w:firstColumn="1" w:lastColumn="0" w:noHBand="0" w:noVBand="1"/>
        </w:tblPrEx>
        <w:trPr>
          <w:trHeight w:val="261"/>
        </w:trPr>
        <w:tc>
          <w:tcPr>
            <w:tcW w:w="873" w:type="dxa"/>
            <w:tcBorders>
              <w:top w:val="nil"/>
              <w:left w:val="single" w:sz="4" w:space="0" w:color="BFBFBF" w:themeColor="background1" w:themeShade="BF"/>
              <w:bottom w:val="nil"/>
            </w:tcBorders>
            <w:noWrap/>
            <w:vAlign w:val="center"/>
          </w:tcPr>
          <w:p w14:paraId="69E6074F" w14:textId="66EAF2F3" w:rsidR="00603217" w:rsidRPr="002150BE" w:rsidRDefault="00603217" w:rsidP="00603217">
            <w:pPr>
              <w:spacing w:after="0" w:line="240" w:lineRule="auto"/>
              <w:rPr>
                <w:rFonts w:asciiTheme="minorHAnsi" w:hAnsiTheme="minorHAnsi" w:cstheme="minorHAnsi"/>
                <w:color w:val="000000"/>
                <w:sz w:val="18"/>
                <w:lang w:eastAsia="es-MX"/>
              </w:rPr>
            </w:pPr>
          </w:p>
        </w:tc>
        <w:tc>
          <w:tcPr>
            <w:tcW w:w="2008" w:type="dxa"/>
            <w:gridSpan w:val="2"/>
            <w:vMerge/>
            <w:tcBorders>
              <w:top w:val="nil"/>
              <w:bottom w:val="nil"/>
              <w:right w:val="nil"/>
            </w:tcBorders>
          </w:tcPr>
          <w:p w14:paraId="38B3480D" w14:textId="77777777" w:rsidR="00603217" w:rsidRPr="002150BE" w:rsidRDefault="00603217" w:rsidP="00603217">
            <w:pPr>
              <w:spacing w:after="0" w:line="240" w:lineRule="auto"/>
              <w:rPr>
                <w:rFonts w:asciiTheme="minorHAnsi" w:hAnsiTheme="minorHAnsi" w:cstheme="minorHAnsi"/>
                <w:color w:val="262626"/>
                <w:sz w:val="18"/>
                <w:lang w:eastAsia="es-MX"/>
              </w:rPr>
            </w:pPr>
          </w:p>
        </w:tc>
        <w:tc>
          <w:tcPr>
            <w:tcW w:w="1030" w:type="dxa"/>
            <w:tcBorders>
              <w:top w:val="nil"/>
              <w:left w:val="nil"/>
              <w:bottom w:val="nil"/>
              <w:right w:val="nil"/>
            </w:tcBorders>
            <w:vAlign w:val="center"/>
          </w:tcPr>
          <w:p w14:paraId="50DFF935" w14:textId="77777777" w:rsidR="00603217" w:rsidRPr="002150BE" w:rsidRDefault="00603217" w:rsidP="00603217">
            <w:pPr>
              <w:spacing w:after="0" w:line="240" w:lineRule="auto"/>
              <w:rPr>
                <w:rFonts w:asciiTheme="minorHAnsi" w:hAnsiTheme="minorHAnsi" w:cstheme="minorHAnsi"/>
                <w:color w:val="000000"/>
                <w:sz w:val="18"/>
                <w:lang w:eastAsia="es-MX"/>
              </w:rPr>
            </w:pPr>
          </w:p>
        </w:tc>
        <w:tc>
          <w:tcPr>
            <w:tcW w:w="1030" w:type="dxa"/>
            <w:tcBorders>
              <w:top w:val="nil"/>
              <w:left w:val="nil"/>
              <w:bottom w:val="nil"/>
              <w:right w:val="nil"/>
            </w:tcBorders>
            <w:vAlign w:val="center"/>
          </w:tcPr>
          <w:p w14:paraId="3B6841F7" w14:textId="77777777" w:rsidR="00603217" w:rsidRPr="002150BE" w:rsidRDefault="00603217" w:rsidP="00603217">
            <w:pPr>
              <w:spacing w:after="0" w:line="240" w:lineRule="auto"/>
              <w:rPr>
                <w:rFonts w:asciiTheme="minorHAnsi" w:hAnsiTheme="minorHAnsi" w:cstheme="minorHAnsi"/>
                <w:sz w:val="18"/>
                <w:lang w:eastAsia="es-MX"/>
              </w:rPr>
            </w:pPr>
          </w:p>
        </w:tc>
        <w:tc>
          <w:tcPr>
            <w:tcW w:w="1023" w:type="dxa"/>
            <w:gridSpan w:val="2"/>
            <w:tcBorders>
              <w:top w:val="nil"/>
              <w:left w:val="nil"/>
              <w:bottom w:val="nil"/>
              <w:right w:val="nil"/>
            </w:tcBorders>
            <w:vAlign w:val="center"/>
          </w:tcPr>
          <w:p w14:paraId="29B78729" w14:textId="77777777" w:rsidR="00603217" w:rsidRPr="002150BE" w:rsidRDefault="00603217" w:rsidP="00603217">
            <w:pPr>
              <w:spacing w:after="0" w:line="240" w:lineRule="auto"/>
              <w:rPr>
                <w:rFonts w:asciiTheme="minorHAnsi" w:hAnsiTheme="minorHAnsi" w:cstheme="minorHAnsi"/>
                <w:sz w:val="18"/>
                <w:lang w:eastAsia="es-MX"/>
              </w:rPr>
            </w:pPr>
          </w:p>
        </w:tc>
        <w:tc>
          <w:tcPr>
            <w:tcW w:w="1023" w:type="dxa"/>
            <w:tcBorders>
              <w:top w:val="nil"/>
              <w:left w:val="nil"/>
              <w:bottom w:val="nil"/>
              <w:right w:val="nil"/>
            </w:tcBorders>
            <w:vAlign w:val="center"/>
          </w:tcPr>
          <w:p w14:paraId="00C8EEFD" w14:textId="77777777" w:rsidR="00603217" w:rsidRPr="002150BE" w:rsidRDefault="00603217" w:rsidP="00603217">
            <w:pPr>
              <w:spacing w:after="0" w:line="240" w:lineRule="auto"/>
              <w:rPr>
                <w:rFonts w:asciiTheme="minorHAnsi" w:hAnsiTheme="minorHAnsi" w:cstheme="minorHAnsi"/>
                <w:sz w:val="18"/>
                <w:lang w:eastAsia="es-MX"/>
              </w:rPr>
            </w:pPr>
          </w:p>
        </w:tc>
        <w:tc>
          <w:tcPr>
            <w:tcW w:w="160" w:type="dxa"/>
            <w:tcBorders>
              <w:top w:val="nil"/>
              <w:left w:val="nil"/>
              <w:bottom w:val="nil"/>
              <w:right w:val="nil"/>
            </w:tcBorders>
            <w:vAlign w:val="center"/>
          </w:tcPr>
          <w:p w14:paraId="37851124" w14:textId="77777777" w:rsidR="00603217" w:rsidRPr="002150BE" w:rsidRDefault="00603217" w:rsidP="00603217">
            <w:pPr>
              <w:spacing w:after="0" w:line="240" w:lineRule="auto"/>
              <w:rPr>
                <w:rFonts w:asciiTheme="minorHAnsi" w:hAnsiTheme="minorHAnsi" w:cstheme="minorHAnsi"/>
                <w:sz w:val="18"/>
                <w:lang w:eastAsia="es-MX"/>
              </w:rPr>
            </w:pPr>
          </w:p>
        </w:tc>
        <w:tc>
          <w:tcPr>
            <w:tcW w:w="1026" w:type="dxa"/>
            <w:tcBorders>
              <w:top w:val="nil"/>
              <w:left w:val="nil"/>
              <w:bottom w:val="nil"/>
              <w:right w:val="nil"/>
            </w:tcBorders>
            <w:vAlign w:val="center"/>
          </w:tcPr>
          <w:p w14:paraId="06EF5285" w14:textId="77777777" w:rsidR="00603217" w:rsidRPr="002150BE" w:rsidRDefault="00603217" w:rsidP="00603217">
            <w:pPr>
              <w:spacing w:after="0" w:line="240" w:lineRule="auto"/>
              <w:rPr>
                <w:rFonts w:asciiTheme="minorHAnsi" w:hAnsiTheme="minorHAnsi" w:cstheme="minorHAnsi"/>
                <w:sz w:val="18"/>
                <w:lang w:eastAsia="es-MX"/>
              </w:rPr>
            </w:pPr>
          </w:p>
        </w:tc>
        <w:tc>
          <w:tcPr>
            <w:tcW w:w="162" w:type="dxa"/>
            <w:tcBorders>
              <w:top w:val="nil"/>
              <w:left w:val="nil"/>
              <w:bottom w:val="nil"/>
              <w:right w:val="nil"/>
            </w:tcBorders>
            <w:vAlign w:val="center"/>
            <w:hideMark/>
          </w:tcPr>
          <w:p w14:paraId="263D7F5A" w14:textId="77777777" w:rsidR="00603217" w:rsidRPr="002150BE" w:rsidRDefault="00603217" w:rsidP="00603217">
            <w:pPr>
              <w:spacing w:after="0" w:line="240" w:lineRule="auto"/>
              <w:rPr>
                <w:rFonts w:asciiTheme="minorHAnsi" w:hAnsiTheme="minorHAnsi" w:cstheme="minorHAnsi"/>
                <w:sz w:val="18"/>
                <w:lang w:eastAsia="es-MX"/>
              </w:rPr>
            </w:pPr>
          </w:p>
        </w:tc>
        <w:tc>
          <w:tcPr>
            <w:tcW w:w="161" w:type="dxa"/>
            <w:tcBorders>
              <w:top w:val="nil"/>
              <w:left w:val="nil"/>
              <w:bottom w:val="nil"/>
              <w:right w:val="nil"/>
            </w:tcBorders>
            <w:vAlign w:val="center"/>
            <w:hideMark/>
          </w:tcPr>
          <w:p w14:paraId="204B5AAB" w14:textId="77777777" w:rsidR="00603217" w:rsidRPr="002150BE" w:rsidRDefault="00603217" w:rsidP="00603217">
            <w:pPr>
              <w:spacing w:after="0" w:line="240" w:lineRule="auto"/>
              <w:rPr>
                <w:rFonts w:asciiTheme="minorHAnsi" w:hAnsiTheme="minorHAnsi" w:cstheme="minorHAnsi"/>
                <w:sz w:val="18"/>
                <w:lang w:eastAsia="es-MX"/>
              </w:rPr>
            </w:pPr>
          </w:p>
        </w:tc>
        <w:tc>
          <w:tcPr>
            <w:tcW w:w="160" w:type="dxa"/>
            <w:tcBorders>
              <w:top w:val="nil"/>
              <w:left w:val="nil"/>
              <w:bottom w:val="nil"/>
              <w:right w:val="nil"/>
            </w:tcBorders>
            <w:vAlign w:val="center"/>
            <w:hideMark/>
          </w:tcPr>
          <w:p w14:paraId="05E203BA" w14:textId="77777777" w:rsidR="00603217" w:rsidRPr="002150BE" w:rsidRDefault="00603217" w:rsidP="00603217">
            <w:pPr>
              <w:spacing w:after="0" w:line="240" w:lineRule="auto"/>
              <w:rPr>
                <w:rFonts w:asciiTheme="minorHAnsi" w:hAnsiTheme="minorHAnsi" w:cstheme="minorHAnsi"/>
                <w:sz w:val="18"/>
                <w:lang w:eastAsia="es-MX"/>
              </w:rPr>
            </w:pPr>
          </w:p>
        </w:tc>
        <w:tc>
          <w:tcPr>
            <w:tcW w:w="172" w:type="dxa"/>
            <w:tcBorders>
              <w:top w:val="nil"/>
              <w:left w:val="nil"/>
              <w:bottom w:val="nil"/>
              <w:right w:val="single" w:sz="4" w:space="0" w:color="BFBFBF" w:themeColor="background1" w:themeShade="BF"/>
            </w:tcBorders>
            <w:vAlign w:val="center"/>
            <w:hideMark/>
          </w:tcPr>
          <w:p w14:paraId="4AB5B37D" w14:textId="77777777" w:rsidR="00603217" w:rsidRPr="002150BE" w:rsidRDefault="00603217" w:rsidP="00603217">
            <w:pPr>
              <w:spacing w:after="0" w:line="240" w:lineRule="auto"/>
              <w:rPr>
                <w:rFonts w:asciiTheme="minorHAnsi" w:hAnsiTheme="minorHAnsi" w:cstheme="minorHAnsi"/>
                <w:color w:val="262626"/>
                <w:sz w:val="18"/>
                <w:lang w:eastAsia="es-MX"/>
              </w:rPr>
            </w:pPr>
            <w:r w:rsidRPr="002150BE">
              <w:rPr>
                <w:rFonts w:asciiTheme="minorHAnsi" w:hAnsiTheme="minorHAnsi" w:cstheme="minorHAnsi"/>
                <w:color w:val="262626"/>
                <w:sz w:val="18"/>
                <w:lang w:eastAsia="es-MX"/>
              </w:rPr>
              <w:t> </w:t>
            </w:r>
          </w:p>
        </w:tc>
      </w:tr>
      <w:tr w:rsidR="00901755" w:rsidRPr="002150BE" w14:paraId="4E3D9763" w14:textId="77777777" w:rsidTr="00901755">
        <w:tblPrEx>
          <w:tblLook w:val="0480" w:firstRow="0" w:lastRow="0" w:firstColumn="1" w:lastColumn="0" w:noHBand="0" w:noVBand="1"/>
        </w:tblPrEx>
        <w:trPr>
          <w:trHeight w:val="298"/>
        </w:trPr>
        <w:tc>
          <w:tcPr>
            <w:tcW w:w="873" w:type="dxa"/>
            <w:tcBorders>
              <w:top w:val="nil"/>
              <w:left w:val="single" w:sz="4" w:space="0" w:color="BFBFBF" w:themeColor="background1" w:themeShade="BF"/>
              <w:bottom w:val="nil"/>
              <w:right w:val="nil"/>
            </w:tcBorders>
            <w:noWrap/>
            <w:vAlign w:val="center"/>
          </w:tcPr>
          <w:p w14:paraId="7E9E0A84" w14:textId="1EB2353E" w:rsidR="00603217" w:rsidRPr="002150BE" w:rsidRDefault="00603217" w:rsidP="00603217">
            <w:pPr>
              <w:spacing w:after="0" w:line="240" w:lineRule="auto"/>
              <w:jc w:val="center"/>
              <w:rPr>
                <w:rFonts w:asciiTheme="minorHAnsi" w:hAnsiTheme="minorHAnsi" w:cstheme="minorHAnsi"/>
                <w:b/>
                <w:color w:val="000000"/>
                <w:sz w:val="18"/>
                <w:lang w:eastAsia="es-MX"/>
              </w:rPr>
            </w:pPr>
          </w:p>
        </w:tc>
        <w:tc>
          <w:tcPr>
            <w:tcW w:w="2008" w:type="dxa"/>
            <w:gridSpan w:val="2"/>
            <w:vMerge w:val="restart"/>
            <w:tcBorders>
              <w:top w:val="nil"/>
              <w:left w:val="nil"/>
              <w:bottom w:val="nil"/>
              <w:right w:val="nil"/>
            </w:tcBorders>
          </w:tcPr>
          <w:p w14:paraId="10066763" w14:textId="44FF2CBB" w:rsidR="00603217" w:rsidRPr="002150BE" w:rsidRDefault="00901755" w:rsidP="00603217">
            <w:pPr>
              <w:spacing w:after="0" w:line="240" w:lineRule="auto"/>
              <w:rPr>
                <w:rFonts w:asciiTheme="minorHAnsi" w:hAnsiTheme="minorHAnsi" w:cstheme="minorHAnsi"/>
                <w:color w:val="262626"/>
                <w:sz w:val="18"/>
                <w:lang w:eastAsia="es-MX"/>
              </w:rPr>
            </w:pPr>
            <w:r w:rsidRPr="002150BE">
              <w:rPr>
                <w:rFonts w:asciiTheme="minorHAnsi" w:hAnsiTheme="minorHAnsi" w:cstheme="minorHAnsi"/>
                <w:noProof/>
                <w:color w:val="000000"/>
                <w:sz w:val="18"/>
                <w:lang w:eastAsia="es-MX"/>
              </w:rPr>
              <w:drawing>
                <wp:anchor distT="0" distB="0" distL="114300" distR="114300" simplePos="0" relativeHeight="251759104" behindDoc="1" locked="0" layoutInCell="1" allowOverlap="1" wp14:anchorId="4DF8BFBE" wp14:editId="04BCCAF2">
                  <wp:simplePos x="0" y="0"/>
                  <wp:positionH relativeFrom="column">
                    <wp:posOffset>529457</wp:posOffset>
                  </wp:positionH>
                  <wp:positionV relativeFrom="paragraph">
                    <wp:posOffset>-454424</wp:posOffset>
                  </wp:positionV>
                  <wp:extent cx="3361483" cy="4879704"/>
                  <wp:effectExtent l="0" t="0" r="0" b="0"/>
                  <wp:wrapNone/>
                  <wp:docPr id="1325589398"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65756" cy="4885906"/>
                          </a:xfrm>
                          <a:prstGeom prst="rect">
                            <a:avLst/>
                          </a:prstGeom>
                          <a:noFill/>
                        </pic:spPr>
                      </pic:pic>
                    </a:graphicData>
                  </a:graphic>
                  <wp14:sizeRelH relativeFrom="margin">
                    <wp14:pctWidth>0</wp14:pctWidth>
                  </wp14:sizeRelH>
                  <wp14:sizeRelV relativeFrom="margin">
                    <wp14:pctHeight>0</wp14:pctHeight>
                  </wp14:sizeRelV>
                </wp:anchor>
              </w:drawing>
            </w:r>
          </w:p>
        </w:tc>
        <w:tc>
          <w:tcPr>
            <w:tcW w:w="1030" w:type="dxa"/>
            <w:tcBorders>
              <w:top w:val="nil"/>
              <w:left w:val="nil"/>
              <w:bottom w:val="nil"/>
              <w:right w:val="nil"/>
            </w:tcBorders>
            <w:vAlign w:val="center"/>
          </w:tcPr>
          <w:p w14:paraId="60B8F723" w14:textId="77777777" w:rsidR="00603217" w:rsidRPr="002150BE" w:rsidRDefault="00603217" w:rsidP="00603217">
            <w:pPr>
              <w:spacing w:after="0" w:line="240" w:lineRule="auto"/>
              <w:rPr>
                <w:rFonts w:asciiTheme="minorHAnsi" w:hAnsiTheme="minorHAnsi" w:cstheme="minorHAnsi"/>
                <w:color w:val="262626"/>
                <w:sz w:val="18"/>
                <w:lang w:eastAsia="es-MX"/>
              </w:rPr>
            </w:pPr>
          </w:p>
        </w:tc>
        <w:tc>
          <w:tcPr>
            <w:tcW w:w="1030" w:type="dxa"/>
            <w:tcBorders>
              <w:top w:val="nil"/>
              <w:left w:val="nil"/>
              <w:bottom w:val="nil"/>
              <w:right w:val="nil"/>
            </w:tcBorders>
            <w:vAlign w:val="center"/>
          </w:tcPr>
          <w:p w14:paraId="32EDE011" w14:textId="77777777" w:rsidR="00603217" w:rsidRPr="002150BE" w:rsidRDefault="00603217" w:rsidP="00603217">
            <w:pPr>
              <w:spacing w:after="0" w:line="240" w:lineRule="auto"/>
              <w:rPr>
                <w:rFonts w:asciiTheme="minorHAnsi" w:hAnsiTheme="minorHAnsi" w:cstheme="minorHAnsi"/>
                <w:sz w:val="18"/>
                <w:lang w:eastAsia="es-MX"/>
              </w:rPr>
            </w:pPr>
          </w:p>
        </w:tc>
        <w:tc>
          <w:tcPr>
            <w:tcW w:w="1023" w:type="dxa"/>
            <w:gridSpan w:val="2"/>
            <w:tcBorders>
              <w:top w:val="nil"/>
              <w:left w:val="nil"/>
              <w:bottom w:val="nil"/>
              <w:right w:val="nil"/>
            </w:tcBorders>
            <w:vAlign w:val="center"/>
          </w:tcPr>
          <w:p w14:paraId="6AB9CAA8" w14:textId="77777777" w:rsidR="00603217" w:rsidRPr="002150BE" w:rsidRDefault="00603217" w:rsidP="00603217">
            <w:pPr>
              <w:spacing w:after="0" w:line="240" w:lineRule="auto"/>
              <w:rPr>
                <w:rFonts w:asciiTheme="minorHAnsi" w:hAnsiTheme="minorHAnsi" w:cstheme="minorHAnsi"/>
                <w:sz w:val="18"/>
                <w:lang w:eastAsia="es-MX"/>
              </w:rPr>
            </w:pPr>
          </w:p>
        </w:tc>
        <w:tc>
          <w:tcPr>
            <w:tcW w:w="1023" w:type="dxa"/>
            <w:tcBorders>
              <w:top w:val="nil"/>
              <w:left w:val="nil"/>
              <w:bottom w:val="nil"/>
              <w:right w:val="nil"/>
            </w:tcBorders>
            <w:vAlign w:val="center"/>
          </w:tcPr>
          <w:p w14:paraId="74A0911B" w14:textId="77777777" w:rsidR="00603217" w:rsidRPr="002150BE" w:rsidRDefault="00603217" w:rsidP="00603217">
            <w:pPr>
              <w:spacing w:after="0" w:line="240" w:lineRule="auto"/>
              <w:rPr>
                <w:rFonts w:asciiTheme="minorHAnsi" w:hAnsiTheme="minorHAnsi" w:cstheme="minorHAnsi"/>
                <w:sz w:val="18"/>
                <w:lang w:eastAsia="es-MX"/>
              </w:rPr>
            </w:pPr>
          </w:p>
        </w:tc>
        <w:tc>
          <w:tcPr>
            <w:tcW w:w="160" w:type="dxa"/>
            <w:tcBorders>
              <w:top w:val="nil"/>
              <w:left w:val="nil"/>
              <w:bottom w:val="nil"/>
              <w:right w:val="nil"/>
            </w:tcBorders>
            <w:vAlign w:val="center"/>
          </w:tcPr>
          <w:p w14:paraId="4EEB9F3C" w14:textId="77777777" w:rsidR="00603217" w:rsidRPr="002150BE" w:rsidRDefault="00603217" w:rsidP="00603217">
            <w:pPr>
              <w:spacing w:after="0" w:line="240" w:lineRule="auto"/>
              <w:rPr>
                <w:rFonts w:asciiTheme="minorHAnsi" w:hAnsiTheme="minorHAnsi" w:cstheme="minorHAnsi"/>
                <w:sz w:val="18"/>
                <w:lang w:eastAsia="es-MX"/>
              </w:rPr>
            </w:pPr>
          </w:p>
        </w:tc>
        <w:tc>
          <w:tcPr>
            <w:tcW w:w="1026" w:type="dxa"/>
            <w:tcBorders>
              <w:top w:val="nil"/>
              <w:left w:val="nil"/>
              <w:bottom w:val="nil"/>
              <w:right w:val="nil"/>
            </w:tcBorders>
            <w:vAlign w:val="center"/>
          </w:tcPr>
          <w:p w14:paraId="4048A653" w14:textId="77777777" w:rsidR="00603217" w:rsidRPr="002150BE" w:rsidRDefault="00603217" w:rsidP="00603217">
            <w:pPr>
              <w:spacing w:after="0" w:line="240" w:lineRule="auto"/>
              <w:rPr>
                <w:rFonts w:asciiTheme="minorHAnsi" w:hAnsiTheme="minorHAnsi" w:cstheme="minorHAnsi"/>
                <w:sz w:val="18"/>
                <w:lang w:eastAsia="es-MX"/>
              </w:rPr>
            </w:pPr>
          </w:p>
        </w:tc>
        <w:tc>
          <w:tcPr>
            <w:tcW w:w="162" w:type="dxa"/>
            <w:tcBorders>
              <w:top w:val="nil"/>
              <w:left w:val="nil"/>
              <w:bottom w:val="nil"/>
              <w:right w:val="nil"/>
            </w:tcBorders>
            <w:vAlign w:val="center"/>
            <w:hideMark/>
          </w:tcPr>
          <w:p w14:paraId="3E219CB6" w14:textId="77777777" w:rsidR="00603217" w:rsidRPr="002150BE" w:rsidRDefault="00603217" w:rsidP="00603217">
            <w:pPr>
              <w:spacing w:after="0" w:line="240" w:lineRule="auto"/>
              <w:rPr>
                <w:rFonts w:asciiTheme="minorHAnsi" w:hAnsiTheme="minorHAnsi" w:cstheme="minorHAnsi"/>
                <w:sz w:val="18"/>
                <w:lang w:eastAsia="es-MX"/>
              </w:rPr>
            </w:pPr>
          </w:p>
        </w:tc>
        <w:tc>
          <w:tcPr>
            <w:tcW w:w="161" w:type="dxa"/>
            <w:tcBorders>
              <w:top w:val="nil"/>
              <w:left w:val="nil"/>
              <w:bottom w:val="nil"/>
              <w:right w:val="nil"/>
            </w:tcBorders>
            <w:vAlign w:val="center"/>
            <w:hideMark/>
          </w:tcPr>
          <w:p w14:paraId="2A85D4CD" w14:textId="77777777" w:rsidR="00603217" w:rsidRPr="002150BE" w:rsidRDefault="00603217" w:rsidP="00603217">
            <w:pPr>
              <w:spacing w:after="0" w:line="240" w:lineRule="auto"/>
              <w:rPr>
                <w:rFonts w:asciiTheme="minorHAnsi" w:hAnsiTheme="minorHAnsi" w:cstheme="minorHAnsi"/>
                <w:sz w:val="18"/>
                <w:lang w:eastAsia="es-MX"/>
              </w:rPr>
            </w:pPr>
          </w:p>
        </w:tc>
        <w:tc>
          <w:tcPr>
            <w:tcW w:w="160" w:type="dxa"/>
            <w:tcBorders>
              <w:top w:val="nil"/>
              <w:left w:val="nil"/>
              <w:bottom w:val="nil"/>
              <w:right w:val="nil"/>
            </w:tcBorders>
            <w:vAlign w:val="center"/>
            <w:hideMark/>
          </w:tcPr>
          <w:p w14:paraId="6B41786A" w14:textId="77777777" w:rsidR="00603217" w:rsidRPr="002150BE" w:rsidRDefault="00603217" w:rsidP="00603217">
            <w:pPr>
              <w:spacing w:after="0" w:line="240" w:lineRule="auto"/>
              <w:rPr>
                <w:rFonts w:asciiTheme="minorHAnsi" w:hAnsiTheme="minorHAnsi" w:cstheme="minorHAnsi"/>
                <w:sz w:val="18"/>
                <w:lang w:eastAsia="es-MX"/>
              </w:rPr>
            </w:pPr>
          </w:p>
        </w:tc>
        <w:tc>
          <w:tcPr>
            <w:tcW w:w="172" w:type="dxa"/>
            <w:tcBorders>
              <w:top w:val="nil"/>
              <w:left w:val="nil"/>
              <w:bottom w:val="nil"/>
              <w:right w:val="single" w:sz="4" w:space="0" w:color="BFBFBF" w:themeColor="background1" w:themeShade="BF"/>
            </w:tcBorders>
            <w:vAlign w:val="center"/>
            <w:hideMark/>
          </w:tcPr>
          <w:p w14:paraId="49B56056" w14:textId="77777777" w:rsidR="00603217" w:rsidRPr="002150BE" w:rsidRDefault="00603217" w:rsidP="00603217">
            <w:pPr>
              <w:spacing w:after="0" w:line="240" w:lineRule="auto"/>
              <w:rPr>
                <w:rFonts w:asciiTheme="minorHAnsi" w:hAnsiTheme="minorHAnsi" w:cstheme="minorHAnsi"/>
                <w:color w:val="262626"/>
                <w:sz w:val="18"/>
                <w:lang w:eastAsia="es-MX"/>
              </w:rPr>
            </w:pPr>
            <w:r w:rsidRPr="002150BE">
              <w:rPr>
                <w:rFonts w:asciiTheme="minorHAnsi" w:hAnsiTheme="minorHAnsi" w:cstheme="minorHAnsi"/>
                <w:color w:val="262626"/>
                <w:sz w:val="18"/>
                <w:lang w:eastAsia="es-MX"/>
              </w:rPr>
              <w:t> </w:t>
            </w:r>
          </w:p>
        </w:tc>
      </w:tr>
      <w:tr w:rsidR="00901755" w:rsidRPr="002150BE" w14:paraId="746D8875" w14:textId="77777777" w:rsidTr="00901755">
        <w:tblPrEx>
          <w:tblLook w:val="0480" w:firstRow="0" w:lastRow="0" w:firstColumn="1" w:lastColumn="0" w:noHBand="0" w:noVBand="1"/>
        </w:tblPrEx>
        <w:trPr>
          <w:trHeight w:val="836"/>
        </w:trPr>
        <w:tc>
          <w:tcPr>
            <w:tcW w:w="873" w:type="dxa"/>
            <w:tcBorders>
              <w:top w:val="nil"/>
              <w:left w:val="single" w:sz="4" w:space="0" w:color="BFBFBF" w:themeColor="background1" w:themeShade="BF"/>
              <w:bottom w:val="nil"/>
            </w:tcBorders>
            <w:noWrap/>
            <w:vAlign w:val="center"/>
          </w:tcPr>
          <w:p w14:paraId="2BE58A22" w14:textId="35B155C7" w:rsidR="00603217" w:rsidRPr="002150BE" w:rsidRDefault="00603217" w:rsidP="00603217">
            <w:pPr>
              <w:spacing w:after="0" w:line="240" w:lineRule="auto"/>
              <w:rPr>
                <w:rFonts w:asciiTheme="minorHAnsi" w:hAnsiTheme="minorHAnsi" w:cstheme="minorHAnsi"/>
                <w:color w:val="000000"/>
                <w:sz w:val="18"/>
                <w:lang w:eastAsia="es-MX"/>
              </w:rPr>
            </w:pPr>
          </w:p>
        </w:tc>
        <w:tc>
          <w:tcPr>
            <w:tcW w:w="2008" w:type="dxa"/>
            <w:gridSpan w:val="2"/>
            <w:vMerge/>
            <w:tcBorders>
              <w:top w:val="nil"/>
              <w:bottom w:val="nil"/>
              <w:right w:val="nil"/>
            </w:tcBorders>
          </w:tcPr>
          <w:p w14:paraId="1FF0F3AD" w14:textId="77777777" w:rsidR="00603217" w:rsidRPr="002150BE" w:rsidRDefault="00603217" w:rsidP="00603217">
            <w:pPr>
              <w:spacing w:after="0" w:line="240" w:lineRule="auto"/>
              <w:rPr>
                <w:rFonts w:asciiTheme="minorHAnsi" w:hAnsiTheme="minorHAnsi" w:cstheme="minorHAnsi"/>
                <w:color w:val="262626"/>
                <w:sz w:val="18"/>
                <w:lang w:eastAsia="es-MX"/>
              </w:rPr>
            </w:pPr>
          </w:p>
        </w:tc>
        <w:tc>
          <w:tcPr>
            <w:tcW w:w="1030" w:type="dxa"/>
            <w:tcBorders>
              <w:top w:val="nil"/>
              <w:left w:val="nil"/>
              <w:bottom w:val="nil"/>
              <w:right w:val="nil"/>
            </w:tcBorders>
            <w:vAlign w:val="center"/>
          </w:tcPr>
          <w:p w14:paraId="79C0E599" w14:textId="7CE8C5D9" w:rsidR="00603217" w:rsidRPr="002150BE" w:rsidRDefault="00603217" w:rsidP="00603217">
            <w:pPr>
              <w:spacing w:after="0" w:line="240" w:lineRule="auto"/>
              <w:rPr>
                <w:rFonts w:asciiTheme="minorHAnsi" w:hAnsiTheme="minorHAnsi" w:cstheme="minorHAnsi"/>
                <w:color w:val="000000"/>
                <w:sz w:val="18"/>
                <w:lang w:eastAsia="es-MX"/>
              </w:rPr>
            </w:pPr>
          </w:p>
        </w:tc>
        <w:tc>
          <w:tcPr>
            <w:tcW w:w="1030" w:type="dxa"/>
            <w:tcBorders>
              <w:top w:val="nil"/>
              <w:left w:val="nil"/>
              <w:bottom w:val="nil"/>
              <w:right w:val="nil"/>
            </w:tcBorders>
            <w:vAlign w:val="center"/>
          </w:tcPr>
          <w:p w14:paraId="78350FCC" w14:textId="3C30300A" w:rsidR="00603217" w:rsidRPr="002150BE" w:rsidRDefault="00603217" w:rsidP="00603217">
            <w:pPr>
              <w:spacing w:after="0" w:line="240" w:lineRule="auto"/>
              <w:rPr>
                <w:rFonts w:asciiTheme="minorHAnsi" w:hAnsiTheme="minorHAnsi" w:cstheme="minorHAnsi"/>
                <w:sz w:val="18"/>
                <w:lang w:eastAsia="es-MX"/>
              </w:rPr>
            </w:pPr>
          </w:p>
        </w:tc>
        <w:tc>
          <w:tcPr>
            <w:tcW w:w="1023" w:type="dxa"/>
            <w:gridSpan w:val="2"/>
            <w:tcBorders>
              <w:top w:val="nil"/>
              <w:left w:val="nil"/>
              <w:bottom w:val="nil"/>
              <w:right w:val="nil"/>
            </w:tcBorders>
            <w:vAlign w:val="center"/>
          </w:tcPr>
          <w:p w14:paraId="26ABF0A2" w14:textId="285D5430" w:rsidR="00603217" w:rsidRPr="002150BE" w:rsidRDefault="00603217" w:rsidP="00603217">
            <w:pPr>
              <w:spacing w:after="0" w:line="240" w:lineRule="auto"/>
              <w:rPr>
                <w:rFonts w:asciiTheme="minorHAnsi" w:hAnsiTheme="minorHAnsi" w:cstheme="minorHAnsi"/>
                <w:sz w:val="18"/>
                <w:lang w:eastAsia="es-MX"/>
              </w:rPr>
            </w:pPr>
          </w:p>
        </w:tc>
        <w:tc>
          <w:tcPr>
            <w:tcW w:w="1023" w:type="dxa"/>
            <w:tcBorders>
              <w:top w:val="nil"/>
              <w:left w:val="nil"/>
              <w:bottom w:val="nil"/>
              <w:right w:val="nil"/>
            </w:tcBorders>
            <w:vAlign w:val="center"/>
          </w:tcPr>
          <w:p w14:paraId="2D3B4381" w14:textId="77777777" w:rsidR="00603217" w:rsidRPr="002150BE" w:rsidRDefault="00603217" w:rsidP="00603217">
            <w:pPr>
              <w:spacing w:after="0" w:line="240" w:lineRule="auto"/>
              <w:rPr>
                <w:rFonts w:asciiTheme="minorHAnsi" w:hAnsiTheme="minorHAnsi" w:cstheme="minorHAnsi"/>
                <w:sz w:val="18"/>
                <w:lang w:eastAsia="es-MX"/>
              </w:rPr>
            </w:pPr>
          </w:p>
        </w:tc>
        <w:tc>
          <w:tcPr>
            <w:tcW w:w="160" w:type="dxa"/>
            <w:tcBorders>
              <w:top w:val="nil"/>
              <w:left w:val="nil"/>
              <w:bottom w:val="nil"/>
              <w:right w:val="nil"/>
            </w:tcBorders>
            <w:vAlign w:val="center"/>
          </w:tcPr>
          <w:p w14:paraId="55997EBC" w14:textId="77777777" w:rsidR="00603217" w:rsidRPr="002150BE" w:rsidRDefault="00603217" w:rsidP="00603217">
            <w:pPr>
              <w:spacing w:after="0" w:line="240" w:lineRule="auto"/>
              <w:rPr>
                <w:rFonts w:asciiTheme="minorHAnsi" w:hAnsiTheme="minorHAnsi" w:cstheme="minorHAnsi"/>
                <w:sz w:val="18"/>
                <w:lang w:eastAsia="es-MX"/>
              </w:rPr>
            </w:pPr>
          </w:p>
        </w:tc>
        <w:tc>
          <w:tcPr>
            <w:tcW w:w="1026" w:type="dxa"/>
            <w:tcBorders>
              <w:top w:val="nil"/>
              <w:left w:val="nil"/>
              <w:bottom w:val="nil"/>
              <w:right w:val="nil"/>
            </w:tcBorders>
            <w:vAlign w:val="center"/>
          </w:tcPr>
          <w:p w14:paraId="7C9FC816" w14:textId="77777777" w:rsidR="00603217" w:rsidRPr="002150BE" w:rsidRDefault="00603217" w:rsidP="00603217">
            <w:pPr>
              <w:spacing w:after="0" w:line="240" w:lineRule="auto"/>
              <w:rPr>
                <w:rFonts w:asciiTheme="minorHAnsi" w:hAnsiTheme="minorHAnsi" w:cstheme="minorHAnsi"/>
                <w:sz w:val="18"/>
                <w:lang w:eastAsia="es-MX"/>
              </w:rPr>
            </w:pPr>
          </w:p>
        </w:tc>
        <w:tc>
          <w:tcPr>
            <w:tcW w:w="162" w:type="dxa"/>
            <w:tcBorders>
              <w:top w:val="nil"/>
              <w:left w:val="nil"/>
              <w:bottom w:val="nil"/>
              <w:right w:val="nil"/>
            </w:tcBorders>
            <w:vAlign w:val="center"/>
            <w:hideMark/>
          </w:tcPr>
          <w:p w14:paraId="18CBF35F" w14:textId="77777777" w:rsidR="00603217" w:rsidRPr="002150BE" w:rsidRDefault="00603217" w:rsidP="00603217">
            <w:pPr>
              <w:spacing w:after="0" w:line="240" w:lineRule="auto"/>
              <w:rPr>
                <w:rFonts w:asciiTheme="minorHAnsi" w:hAnsiTheme="minorHAnsi" w:cstheme="minorHAnsi"/>
                <w:sz w:val="18"/>
                <w:lang w:eastAsia="es-MX"/>
              </w:rPr>
            </w:pPr>
          </w:p>
        </w:tc>
        <w:tc>
          <w:tcPr>
            <w:tcW w:w="161" w:type="dxa"/>
            <w:tcBorders>
              <w:top w:val="nil"/>
              <w:left w:val="nil"/>
              <w:bottom w:val="nil"/>
              <w:right w:val="nil"/>
            </w:tcBorders>
            <w:vAlign w:val="center"/>
            <w:hideMark/>
          </w:tcPr>
          <w:p w14:paraId="63445542" w14:textId="77777777" w:rsidR="00603217" w:rsidRPr="002150BE" w:rsidRDefault="00603217" w:rsidP="00603217">
            <w:pPr>
              <w:spacing w:after="0" w:line="240" w:lineRule="auto"/>
              <w:rPr>
                <w:rFonts w:asciiTheme="minorHAnsi" w:hAnsiTheme="minorHAnsi" w:cstheme="minorHAnsi"/>
                <w:sz w:val="18"/>
                <w:lang w:eastAsia="es-MX"/>
              </w:rPr>
            </w:pPr>
          </w:p>
        </w:tc>
        <w:tc>
          <w:tcPr>
            <w:tcW w:w="160" w:type="dxa"/>
            <w:tcBorders>
              <w:top w:val="nil"/>
              <w:left w:val="nil"/>
              <w:bottom w:val="nil"/>
              <w:right w:val="nil"/>
            </w:tcBorders>
            <w:vAlign w:val="center"/>
            <w:hideMark/>
          </w:tcPr>
          <w:p w14:paraId="4F87A555" w14:textId="77777777" w:rsidR="00603217" w:rsidRPr="002150BE" w:rsidRDefault="00603217" w:rsidP="00603217">
            <w:pPr>
              <w:spacing w:after="0" w:line="240" w:lineRule="auto"/>
              <w:rPr>
                <w:rFonts w:asciiTheme="minorHAnsi" w:hAnsiTheme="minorHAnsi" w:cstheme="minorHAnsi"/>
                <w:sz w:val="18"/>
                <w:lang w:eastAsia="es-MX"/>
              </w:rPr>
            </w:pPr>
          </w:p>
        </w:tc>
        <w:tc>
          <w:tcPr>
            <w:tcW w:w="172" w:type="dxa"/>
            <w:tcBorders>
              <w:top w:val="nil"/>
              <w:left w:val="nil"/>
              <w:bottom w:val="nil"/>
              <w:right w:val="single" w:sz="4" w:space="0" w:color="BFBFBF" w:themeColor="background1" w:themeShade="BF"/>
            </w:tcBorders>
            <w:vAlign w:val="center"/>
            <w:hideMark/>
          </w:tcPr>
          <w:p w14:paraId="21DE9E59" w14:textId="77777777" w:rsidR="00603217" w:rsidRPr="002150BE" w:rsidRDefault="00603217" w:rsidP="00603217">
            <w:pPr>
              <w:spacing w:after="0" w:line="240" w:lineRule="auto"/>
              <w:rPr>
                <w:rFonts w:asciiTheme="minorHAnsi" w:hAnsiTheme="minorHAnsi" w:cstheme="minorHAnsi"/>
                <w:color w:val="262626"/>
                <w:sz w:val="18"/>
                <w:lang w:eastAsia="es-MX"/>
              </w:rPr>
            </w:pPr>
            <w:r w:rsidRPr="002150BE">
              <w:rPr>
                <w:rFonts w:asciiTheme="minorHAnsi" w:hAnsiTheme="minorHAnsi" w:cstheme="minorHAnsi"/>
                <w:color w:val="262626"/>
                <w:sz w:val="18"/>
                <w:lang w:eastAsia="es-MX"/>
              </w:rPr>
              <w:t> </w:t>
            </w:r>
          </w:p>
        </w:tc>
      </w:tr>
      <w:tr w:rsidR="00901755" w:rsidRPr="002150BE" w14:paraId="168B9853" w14:textId="77777777" w:rsidTr="00901755">
        <w:tblPrEx>
          <w:tblLook w:val="0480" w:firstRow="0" w:lastRow="0" w:firstColumn="1" w:lastColumn="0" w:noHBand="0" w:noVBand="1"/>
        </w:tblPrEx>
        <w:trPr>
          <w:trHeight w:val="567"/>
        </w:trPr>
        <w:tc>
          <w:tcPr>
            <w:tcW w:w="873" w:type="dxa"/>
            <w:tcBorders>
              <w:top w:val="nil"/>
              <w:left w:val="single" w:sz="4" w:space="0" w:color="BFBFBF" w:themeColor="background1" w:themeShade="BF"/>
              <w:bottom w:val="nil"/>
              <w:right w:val="nil"/>
            </w:tcBorders>
            <w:noWrap/>
            <w:vAlign w:val="center"/>
          </w:tcPr>
          <w:p w14:paraId="2918DF53" w14:textId="4E1FC2A3" w:rsidR="00603217" w:rsidRPr="002150BE" w:rsidRDefault="00603217" w:rsidP="00603217">
            <w:pPr>
              <w:spacing w:after="0" w:line="240" w:lineRule="auto"/>
              <w:jc w:val="center"/>
              <w:rPr>
                <w:rFonts w:asciiTheme="minorHAnsi" w:hAnsiTheme="minorHAnsi" w:cstheme="minorHAnsi"/>
                <w:b/>
                <w:color w:val="000000"/>
                <w:sz w:val="18"/>
                <w:lang w:eastAsia="es-MX"/>
              </w:rPr>
            </w:pPr>
          </w:p>
        </w:tc>
        <w:tc>
          <w:tcPr>
            <w:tcW w:w="2008" w:type="dxa"/>
            <w:gridSpan w:val="2"/>
            <w:tcBorders>
              <w:top w:val="nil"/>
              <w:left w:val="nil"/>
              <w:bottom w:val="nil"/>
              <w:right w:val="nil"/>
            </w:tcBorders>
          </w:tcPr>
          <w:p w14:paraId="3A3C3F81" w14:textId="6F348D5B" w:rsidR="00603217" w:rsidRPr="002150BE" w:rsidRDefault="00603217" w:rsidP="00603217">
            <w:pPr>
              <w:spacing w:after="0" w:line="240" w:lineRule="auto"/>
              <w:rPr>
                <w:rFonts w:asciiTheme="minorHAnsi" w:hAnsiTheme="minorHAnsi" w:cstheme="minorHAnsi"/>
                <w:color w:val="262626"/>
                <w:sz w:val="18"/>
                <w:lang w:eastAsia="es-MX"/>
              </w:rPr>
            </w:pPr>
          </w:p>
        </w:tc>
        <w:tc>
          <w:tcPr>
            <w:tcW w:w="1030" w:type="dxa"/>
            <w:tcBorders>
              <w:top w:val="nil"/>
              <w:left w:val="nil"/>
              <w:bottom w:val="nil"/>
              <w:right w:val="nil"/>
            </w:tcBorders>
            <w:vAlign w:val="center"/>
          </w:tcPr>
          <w:p w14:paraId="345D153A" w14:textId="77777777" w:rsidR="00603217" w:rsidRPr="002150BE" w:rsidRDefault="00603217" w:rsidP="00603217">
            <w:pPr>
              <w:spacing w:after="0" w:line="240" w:lineRule="auto"/>
              <w:rPr>
                <w:rFonts w:asciiTheme="minorHAnsi" w:hAnsiTheme="minorHAnsi" w:cstheme="minorHAnsi"/>
                <w:color w:val="262626"/>
                <w:sz w:val="18"/>
                <w:lang w:eastAsia="es-MX"/>
              </w:rPr>
            </w:pPr>
          </w:p>
        </w:tc>
        <w:tc>
          <w:tcPr>
            <w:tcW w:w="1030" w:type="dxa"/>
            <w:tcBorders>
              <w:top w:val="nil"/>
              <w:left w:val="nil"/>
              <w:bottom w:val="nil"/>
              <w:right w:val="nil"/>
            </w:tcBorders>
            <w:vAlign w:val="center"/>
          </w:tcPr>
          <w:p w14:paraId="720411FB" w14:textId="77777777" w:rsidR="00603217" w:rsidRPr="002150BE" w:rsidRDefault="00603217" w:rsidP="00603217">
            <w:pPr>
              <w:spacing w:after="0" w:line="240" w:lineRule="auto"/>
              <w:rPr>
                <w:rFonts w:asciiTheme="minorHAnsi" w:hAnsiTheme="minorHAnsi" w:cstheme="minorHAnsi"/>
                <w:sz w:val="18"/>
                <w:lang w:eastAsia="es-MX"/>
              </w:rPr>
            </w:pPr>
          </w:p>
        </w:tc>
        <w:tc>
          <w:tcPr>
            <w:tcW w:w="1023" w:type="dxa"/>
            <w:gridSpan w:val="2"/>
            <w:tcBorders>
              <w:top w:val="nil"/>
              <w:left w:val="nil"/>
              <w:bottom w:val="nil"/>
              <w:right w:val="nil"/>
            </w:tcBorders>
            <w:vAlign w:val="center"/>
          </w:tcPr>
          <w:p w14:paraId="2132C811" w14:textId="77777777" w:rsidR="00603217" w:rsidRPr="002150BE" w:rsidRDefault="00603217" w:rsidP="00603217">
            <w:pPr>
              <w:spacing w:after="0" w:line="240" w:lineRule="auto"/>
              <w:rPr>
                <w:rFonts w:asciiTheme="minorHAnsi" w:hAnsiTheme="minorHAnsi" w:cstheme="minorHAnsi"/>
                <w:sz w:val="18"/>
                <w:lang w:eastAsia="es-MX"/>
              </w:rPr>
            </w:pPr>
          </w:p>
        </w:tc>
        <w:tc>
          <w:tcPr>
            <w:tcW w:w="1023" w:type="dxa"/>
            <w:tcBorders>
              <w:top w:val="nil"/>
              <w:left w:val="nil"/>
              <w:bottom w:val="nil"/>
              <w:right w:val="nil"/>
            </w:tcBorders>
            <w:vAlign w:val="center"/>
          </w:tcPr>
          <w:p w14:paraId="3431EDA6" w14:textId="77777777" w:rsidR="00603217" w:rsidRPr="002150BE" w:rsidRDefault="00603217" w:rsidP="00603217">
            <w:pPr>
              <w:spacing w:after="0" w:line="240" w:lineRule="auto"/>
              <w:rPr>
                <w:rFonts w:asciiTheme="minorHAnsi" w:hAnsiTheme="minorHAnsi" w:cstheme="minorHAnsi"/>
                <w:sz w:val="18"/>
                <w:lang w:eastAsia="es-MX"/>
              </w:rPr>
            </w:pPr>
          </w:p>
        </w:tc>
        <w:tc>
          <w:tcPr>
            <w:tcW w:w="160" w:type="dxa"/>
            <w:tcBorders>
              <w:top w:val="nil"/>
              <w:left w:val="nil"/>
              <w:bottom w:val="nil"/>
              <w:right w:val="nil"/>
            </w:tcBorders>
            <w:vAlign w:val="center"/>
          </w:tcPr>
          <w:p w14:paraId="7A76B8FE" w14:textId="77777777" w:rsidR="00603217" w:rsidRPr="002150BE" w:rsidRDefault="00603217" w:rsidP="00603217">
            <w:pPr>
              <w:spacing w:after="0" w:line="240" w:lineRule="auto"/>
              <w:rPr>
                <w:rFonts w:asciiTheme="minorHAnsi" w:hAnsiTheme="minorHAnsi" w:cstheme="minorHAnsi"/>
                <w:sz w:val="18"/>
                <w:lang w:eastAsia="es-MX"/>
              </w:rPr>
            </w:pPr>
          </w:p>
        </w:tc>
        <w:tc>
          <w:tcPr>
            <w:tcW w:w="1026" w:type="dxa"/>
            <w:tcBorders>
              <w:top w:val="nil"/>
              <w:left w:val="nil"/>
              <w:bottom w:val="nil"/>
              <w:right w:val="nil"/>
            </w:tcBorders>
            <w:vAlign w:val="center"/>
          </w:tcPr>
          <w:p w14:paraId="37A3D140" w14:textId="77777777" w:rsidR="00603217" w:rsidRPr="002150BE" w:rsidRDefault="00603217" w:rsidP="00603217">
            <w:pPr>
              <w:spacing w:after="0" w:line="240" w:lineRule="auto"/>
              <w:rPr>
                <w:rFonts w:asciiTheme="minorHAnsi" w:hAnsiTheme="minorHAnsi" w:cstheme="minorHAnsi"/>
                <w:sz w:val="18"/>
                <w:lang w:eastAsia="es-MX"/>
              </w:rPr>
            </w:pPr>
          </w:p>
        </w:tc>
        <w:tc>
          <w:tcPr>
            <w:tcW w:w="162" w:type="dxa"/>
            <w:tcBorders>
              <w:top w:val="nil"/>
              <w:left w:val="nil"/>
              <w:bottom w:val="nil"/>
              <w:right w:val="nil"/>
            </w:tcBorders>
            <w:vAlign w:val="center"/>
            <w:hideMark/>
          </w:tcPr>
          <w:p w14:paraId="229F4A29" w14:textId="77777777" w:rsidR="00603217" w:rsidRPr="002150BE" w:rsidRDefault="00603217" w:rsidP="00603217">
            <w:pPr>
              <w:spacing w:after="0" w:line="240" w:lineRule="auto"/>
              <w:rPr>
                <w:rFonts w:asciiTheme="minorHAnsi" w:hAnsiTheme="minorHAnsi" w:cstheme="minorHAnsi"/>
                <w:sz w:val="18"/>
                <w:lang w:eastAsia="es-MX"/>
              </w:rPr>
            </w:pPr>
          </w:p>
        </w:tc>
        <w:tc>
          <w:tcPr>
            <w:tcW w:w="161" w:type="dxa"/>
            <w:tcBorders>
              <w:top w:val="nil"/>
              <w:left w:val="nil"/>
              <w:bottom w:val="nil"/>
              <w:right w:val="nil"/>
            </w:tcBorders>
            <w:vAlign w:val="center"/>
            <w:hideMark/>
          </w:tcPr>
          <w:p w14:paraId="53ECCC6D" w14:textId="77777777" w:rsidR="00603217" w:rsidRPr="002150BE" w:rsidRDefault="00603217" w:rsidP="00603217">
            <w:pPr>
              <w:spacing w:after="0" w:line="240" w:lineRule="auto"/>
              <w:rPr>
                <w:rFonts w:asciiTheme="minorHAnsi" w:hAnsiTheme="minorHAnsi" w:cstheme="minorHAnsi"/>
                <w:sz w:val="18"/>
                <w:lang w:eastAsia="es-MX"/>
              </w:rPr>
            </w:pPr>
          </w:p>
        </w:tc>
        <w:tc>
          <w:tcPr>
            <w:tcW w:w="160" w:type="dxa"/>
            <w:tcBorders>
              <w:top w:val="nil"/>
              <w:left w:val="nil"/>
              <w:bottom w:val="nil"/>
              <w:right w:val="nil"/>
            </w:tcBorders>
            <w:vAlign w:val="center"/>
            <w:hideMark/>
          </w:tcPr>
          <w:p w14:paraId="3E6B6104" w14:textId="77777777" w:rsidR="00603217" w:rsidRPr="002150BE" w:rsidRDefault="00603217" w:rsidP="00603217">
            <w:pPr>
              <w:spacing w:after="0" w:line="240" w:lineRule="auto"/>
              <w:rPr>
                <w:rFonts w:asciiTheme="minorHAnsi" w:hAnsiTheme="minorHAnsi" w:cstheme="minorHAnsi"/>
                <w:sz w:val="18"/>
                <w:lang w:eastAsia="es-MX"/>
              </w:rPr>
            </w:pPr>
          </w:p>
        </w:tc>
        <w:tc>
          <w:tcPr>
            <w:tcW w:w="172" w:type="dxa"/>
            <w:tcBorders>
              <w:top w:val="nil"/>
              <w:left w:val="nil"/>
              <w:bottom w:val="nil"/>
              <w:right w:val="single" w:sz="4" w:space="0" w:color="BFBFBF" w:themeColor="background1" w:themeShade="BF"/>
            </w:tcBorders>
            <w:vAlign w:val="center"/>
            <w:hideMark/>
          </w:tcPr>
          <w:p w14:paraId="3875B41D" w14:textId="77777777" w:rsidR="00603217" w:rsidRPr="002150BE" w:rsidRDefault="00603217" w:rsidP="00603217">
            <w:pPr>
              <w:spacing w:after="0" w:line="240" w:lineRule="auto"/>
              <w:rPr>
                <w:rFonts w:asciiTheme="minorHAnsi" w:hAnsiTheme="minorHAnsi" w:cstheme="minorHAnsi"/>
                <w:color w:val="262626"/>
                <w:sz w:val="18"/>
                <w:lang w:eastAsia="es-MX"/>
              </w:rPr>
            </w:pPr>
            <w:r w:rsidRPr="002150BE">
              <w:rPr>
                <w:rFonts w:asciiTheme="minorHAnsi" w:hAnsiTheme="minorHAnsi" w:cstheme="minorHAnsi"/>
                <w:color w:val="262626"/>
                <w:sz w:val="18"/>
                <w:lang w:eastAsia="es-MX"/>
              </w:rPr>
              <w:t> </w:t>
            </w:r>
          </w:p>
        </w:tc>
      </w:tr>
      <w:tr w:rsidR="00901755" w:rsidRPr="002150BE" w14:paraId="28A01D33" w14:textId="77777777" w:rsidTr="00901755">
        <w:tblPrEx>
          <w:tblLook w:val="0480" w:firstRow="0" w:lastRow="0" w:firstColumn="1" w:lastColumn="0" w:noHBand="0" w:noVBand="1"/>
        </w:tblPrEx>
        <w:trPr>
          <w:trHeight w:val="851"/>
        </w:trPr>
        <w:tc>
          <w:tcPr>
            <w:tcW w:w="873" w:type="dxa"/>
            <w:tcBorders>
              <w:top w:val="nil"/>
              <w:left w:val="single" w:sz="4" w:space="0" w:color="BFBFBF" w:themeColor="background1" w:themeShade="BF"/>
              <w:bottom w:val="nil"/>
              <w:right w:val="nil"/>
            </w:tcBorders>
            <w:noWrap/>
            <w:vAlign w:val="center"/>
          </w:tcPr>
          <w:p w14:paraId="045F6F30" w14:textId="337AB451" w:rsidR="00603217" w:rsidRPr="002150BE" w:rsidRDefault="00603217" w:rsidP="00603217">
            <w:pPr>
              <w:spacing w:after="0" w:line="240" w:lineRule="auto"/>
              <w:jc w:val="center"/>
              <w:rPr>
                <w:rFonts w:asciiTheme="minorHAnsi" w:hAnsiTheme="minorHAnsi" w:cstheme="minorHAnsi"/>
                <w:b/>
                <w:color w:val="000000"/>
                <w:sz w:val="18"/>
                <w:lang w:eastAsia="es-MX"/>
              </w:rPr>
            </w:pPr>
          </w:p>
        </w:tc>
        <w:tc>
          <w:tcPr>
            <w:tcW w:w="2008" w:type="dxa"/>
            <w:gridSpan w:val="2"/>
            <w:tcBorders>
              <w:top w:val="nil"/>
              <w:left w:val="nil"/>
              <w:bottom w:val="nil"/>
              <w:right w:val="nil"/>
            </w:tcBorders>
          </w:tcPr>
          <w:p w14:paraId="1B4250C0" w14:textId="77777777" w:rsidR="00603217" w:rsidRPr="002150BE" w:rsidRDefault="00603217" w:rsidP="00603217">
            <w:pPr>
              <w:spacing w:after="0" w:line="240" w:lineRule="auto"/>
              <w:rPr>
                <w:rFonts w:asciiTheme="minorHAnsi" w:hAnsiTheme="minorHAnsi" w:cstheme="minorHAnsi"/>
                <w:color w:val="262626"/>
                <w:sz w:val="8"/>
                <w:szCs w:val="8"/>
                <w:lang w:eastAsia="es-MX"/>
              </w:rPr>
            </w:pPr>
          </w:p>
        </w:tc>
        <w:tc>
          <w:tcPr>
            <w:tcW w:w="1030" w:type="dxa"/>
            <w:tcBorders>
              <w:top w:val="nil"/>
              <w:left w:val="nil"/>
              <w:bottom w:val="nil"/>
              <w:right w:val="nil"/>
            </w:tcBorders>
            <w:vAlign w:val="center"/>
          </w:tcPr>
          <w:p w14:paraId="5A2092AA" w14:textId="77777777" w:rsidR="00603217" w:rsidRPr="002150BE" w:rsidRDefault="00603217" w:rsidP="00603217">
            <w:pPr>
              <w:spacing w:after="0" w:line="240" w:lineRule="auto"/>
              <w:rPr>
                <w:rFonts w:asciiTheme="minorHAnsi" w:hAnsiTheme="minorHAnsi" w:cstheme="minorHAnsi"/>
                <w:color w:val="262626"/>
                <w:sz w:val="18"/>
                <w:lang w:eastAsia="es-MX"/>
              </w:rPr>
            </w:pPr>
          </w:p>
        </w:tc>
        <w:tc>
          <w:tcPr>
            <w:tcW w:w="1030" w:type="dxa"/>
            <w:tcBorders>
              <w:top w:val="nil"/>
              <w:left w:val="nil"/>
              <w:bottom w:val="nil"/>
              <w:right w:val="nil"/>
            </w:tcBorders>
            <w:vAlign w:val="center"/>
          </w:tcPr>
          <w:p w14:paraId="2EA77773" w14:textId="77777777" w:rsidR="00603217" w:rsidRPr="002150BE" w:rsidRDefault="00603217" w:rsidP="00603217">
            <w:pPr>
              <w:spacing w:after="0" w:line="240" w:lineRule="auto"/>
              <w:rPr>
                <w:rFonts w:asciiTheme="minorHAnsi" w:hAnsiTheme="minorHAnsi" w:cstheme="minorHAnsi"/>
                <w:sz w:val="18"/>
                <w:lang w:eastAsia="es-MX"/>
              </w:rPr>
            </w:pPr>
          </w:p>
        </w:tc>
        <w:tc>
          <w:tcPr>
            <w:tcW w:w="1023" w:type="dxa"/>
            <w:gridSpan w:val="2"/>
            <w:tcBorders>
              <w:top w:val="nil"/>
              <w:left w:val="nil"/>
              <w:bottom w:val="nil"/>
              <w:right w:val="nil"/>
            </w:tcBorders>
            <w:vAlign w:val="center"/>
          </w:tcPr>
          <w:p w14:paraId="699E3BA2" w14:textId="77777777" w:rsidR="00603217" w:rsidRPr="002150BE" w:rsidRDefault="00603217" w:rsidP="00603217">
            <w:pPr>
              <w:spacing w:after="0" w:line="240" w:lineRule="auto"/>
              <w:rPr>
                <w:rFonts w:asciiTheme="minorHAnsi" w:hAnsiTheme="minorHAnsi" w:cstheme="minorHAnsi"/>
                <w:sz w:val="18"/>
                <w:lang w:eastAsia="es-MX"/>
              </w:rPr>
            </w:pPr>
          </w:p>
        </w:tc>
        <w:tc>
          <w:tcPr>
            <w:tcW w:w="1023" w:type="dxa"/>
            <w:tcBorders>
              <w:top w:val="nil"/>
              <w:left w:val="nil"/>
              <w:bottom w:val="nil"/>
              <w:right w:val="nil"/>
            </w:tcBorders>
            <w:vAlign w:val="center"/>
          </w:tcPr>
          <w:p w14:paraId="7662B347" w14:textId="77777777" w:rsidR="00603217" w:rsidRPr="002150BE" w:rsidRDefault="00603217" w:rsidP="00603217">
            <w:pPr>
              <w:spacing w:after="0" w:line="240" w:lineRule="auto"/>
              <w:rPr>
                <w:rFonts w:asciiTheme="minorHAnsi" w:hAnsiTheme="minorHAnsi" w:cstheme="minorHAnsi"/>
                <w:sz w:val="18"/>
                <w:lang w:eastAsia="es-MX"/>
              </w:rPr>
            </w:pPr>
          </w:p>
        </w:tc>
        <w:tc>
          <w:tcPr>
            <w:tcW w:w="160" w:type="dxa"/>
            <w:tcBorders>
              <w:top w:val="nil"/>
              <w:left w:val="nil"/>
              <w:bottom w:val="nil"/>
              <w:right w:val="nil"/>
            </w:tcBorders>
            <w:vAlign w:val="center"/>
          </w:tcPr>
          <w:p w14:paraId="4384AD8B" w14:textId="6D9DEE31" w:rsidR="00603217" w:rsidRPr="002150BE" w:rsidRDefault="00603217" w:rsidP="00603217">
            <w:pPr>
              <w:spacing w:after="0" w:line="240" w:lineRule="auto"/>
              <w:rPr>
                <w:rFonts w:asciiTheme="minorHAnsi" w:hAnsiTheme="minorHAnsi" w:cstheme="minorHAnsi"/>
                <w:sz w:val="18"/>
                <w:lang w:eastAsia="es-MX"/>
              </w:rPr>
            </w:pPr>
          </w:p>
        </w:tc>
        <w:tc>
          <w:tcPr>
            <w:tcW w:w="1026" w:type="dxa"/>
            <w:tcBorders>
              <w:top w:val="nil"/>
              <w:left w:val="nil"/>
              <w:bottom w:val="nil"/>
              <w:right w:val="nil"/>
            </w:tcBorders>
            <w:vAlign w:val="center"/>
          </w:tcPr>
          <w:p w14:paraId="540285FC" w14:textId="018B2ADD" w:rsidR="00603217" w:rsidRPr="002150BE" w:rsidRDefault="00603217" w:rsidP="00603217">
            <w:pPr>
              <w:spacing w:after="0" w:line="240" w:lineRule="auto"/>
              <w:rPr>
                <w:rFonts w:asciiTheme="minorHAnsi" w:hAnsiTheme="minorHAnsi" w:cstheme="minorHAnsi"/>
                <w:sz w:val="18"/>
                <w:lang w:eastAsia="es-MX"/>
              </w:rPr>
            </w:pPr>
          </w:p>
        </w:tc>
        <w:tc>
          <w:tcPr>
            <w:tcW w:w="162" w:type="dxa"/>
            <w:tcBorders>
              <w:top w:val="nil"/>
              <w:left w:val="nil"/>
              <w:bottom w:val="nil"/>
              <w:right w:val="nil"/>
            </w:tcBorders>
            <w:vAlign w:val="center"/>
            <w:hideMark/>
          </w:tcPr>
          <w:p w14:paraId="7FDB023D" w14:textId="77777777" w:rsidR="00603217" w:rsidRPr="002150BE" w:rsidRDefault="00603217" w:rsidP="00603217">
            <w:pPr>
              <w:spacing w:after="0" w:line="240" w:lineRule="auto"/>
              <w:rPr>
                <w:rFonts w:asciiTheme="minorHAnsi" w:hAnsiTheme="minorHAnsi" w:cstheme="minorHAnsi"/>
                <w:sz w:val="18"/>
                <w:lang w:eastAsia="es-MX"/>
              </w:rPr>
            </w:pPr>
          </w:p>
        </w:tc>
        <w:tc>
          <w:tcPr>
            <w:tcW w:w="161" w:type="dxa"/>
            <w:tcBorders>
              <w:top w:val="nil"/>
              <w:left w:val="nil"/>
              <w:bottom w:val="nil"/>
              <w:right w:val="nil"/>
            </w:tcBorders>
            <w:vAlign w:val="center"/>
            <w:hideMark/>
          </w:tcPr>
          <w:p w14:paraId="0FF1DB5E" w14:textId="0DAF4157" w:rsidR="00603217" w:rsidRPr="002150BE" w:rsidRDefault="00603217" w:rsidP="00603217">
            <w:pPr>
              <w:spacing w:after="0" w:line="240" w:lineRule="auto"/>
              <w:rPr>
                <w:rFonts w:asciiTheme="minorHAnsi" w:hAnsiTheme="minorHAnsi" w:cstheme="minorHAnsi"/>
                <w:sz w:val="18"/>
                <w:lang w:eastAsia="es-MX"/>
              </w:rPr>
            </w:pPr>
          </w:p>
        </w:tc>
        <w:tc>
          <w:tcPr>
            <w:tcW w:w="160" w:type="dxa"/>
            <w:tcBorders>
              <w:top w:val="nil"/>
              <w:left w:val="nil"/>
              <w:bottom w:val="nil"/>
              <w:right w:val="nil"/>
            </w:tcBorders>
            <w:vAlign w:val="center"/>
            <w:hideMark/>
          </w:tcPr>
          <w:p w14:paraId="4C796CB4" w14:textId="77777777" w:rsidR="00603217" w:rsidRPr="002150BE" w:rsidRDefault="00603217" w:rsidP="00603217">
            <w:pPr>
              <w:spacing w:after="0" w:line="240" w:lineRule="auto"/>
              <w:rPr>
                <w:rFonts w:asciiTheme="minorHAnsi" w:hAnsiTheme="minorHAnsi" w:cstheme="minorHAnsi"/>
                <w:sz w:val="18"/>
                <w:lang w:eastAsia="es-MX"/>
              </w:rPr>
            </w:pPr>
          </w:p>
        </w:tc>
        <w:tc>
          <w:tcPr>
            <w:tcW w:w="172" w:type="dxa"/>
            <w:tcBorders>
              <w:top w:val="nil"/>
              <w:left w:val="nil"/>
              <w:bottom w:val="nil"/>
              <w:right w:val="single" w:sz="4" w:space="0" w:color="BFBFBF" w:themeColor="background1" w:themeShade="BF"/>
            </w:tcBorders>
            <w:vAlign w:val="center"/>
            <w:hideMark/>
          </w:tcPr>
          <w:p w14:paraId="694C2123" w14:textId="77777777" w:rsidR="00603217" w:rsidRPr="002150BE" w:rsidRDefault="00603217" w:rsidP="00603217">
            <w:pPr>
              <w:spacing w:after="0" w:line="240" w:lineRule="auto"/>
              <w:rPr>
                <w:rFonts w:asciiTheme="minorHAnsi" w:hAnsiTheme="minorHAnsi" w:cstheme="minorHAnsi"/>
                <w:color w:val="262626"/>
                <w:sz w:val="18"/>
                <w:lang w:eastAsia="es-MX"/>
              </w:rPr>
            </w:pPr>
            <w:r w:rsidRPr="002150BE">
              <w:rPr>
                <w:rFonts w:asciiTheme="minorHAnsi" w:hAnsiTheme="minorHAnsi" w:cstheme="minorHAnsi"/>
                <w:color w:val="262626"/>
                <w:sz w:val="18"/>
                <w:lang w:eastAsia="es-MX"/>
              </w:rPr>
              <w:t> </w:t>
            </w:r>
          </w:p>
        </w:tc>
      </w:tr>
      <w:tr w:rsidR="00901755" w:rsidRPr="002150BE" w14:paraId="4271458C" w14:textId="77777777" w:rsidTr="00901755">
        <w:tblPrEx>
          <w:tblLook w:val="0480" w:firstRow="0" w:lastRow="0" w:firstColumn="1" w:lastColumn="0" w:noHBand="0" w:noVBand="1"/>
        </w:tblPrEx>
        <w:trPr>
          <w:trHeight w:val="298"/>
        </w:trPr>
        <w:tc>
          <w:tcPr>
            <w:tcW w:w="873" w:type="dxa"/>
            <w:tcBorders>
              <w:top w:val="nil"/>
              <w:left w:val="single" w:sz="4" w:space="0" w:color="BFBFBF" w:themeColor="background1" w:themeShade="BF"/>
              <w:bottom w:val="nil"/>
              <w:right w:val="nil"/>
            </w:tcBorders>
            <w:noWrap/>
            <w:vAlign w:val="center"/>
          </w:tcPr>
          <w:p w14:paraId="5D68489C" w14:textId="77777777" w:rsidR="00603217" w:rsidRPr="002150BE" w:rsidRDefault="00603217" w:rsidP="00603217">
            <w:pPr>
              <w:spacing w:after="0" w:line="240" w:lineRule="auto"/>
              <w:jc w:val="center"/>
              <w:rPr>
                <w:rFonts w:asciiTheme="minorHAnsi" w:hAnsiTheme="minorHAnsi" w:cstheme="minorHAnsi"/>
                <w:b/>
                <w:color w:val="000000"/>
                <w:sz w:val="18"/>
                <w:lang w:eastAsia="es-MX"/>
              </w:rPr>
            </w:pPr>
          </w:p>
          <w:p w14:paraId="67C52108" w14:textId="77777777" w:rsidR="000B2089" w:rsidRPr="002150BE" w:rsidRDefault="000B2089" w:rsidP="00603217">
            <w:pPr>
              <w:spacing w:after="0" w:line="240" w:lineRule="auto"/>
              <w:jc w:val="center"/>
              <w:rPr>
                <w:rFonts w:asciiTheme="minorHAnsi" w:hAnsiTheme="minorHAnsi" w:cstheme="minorHAnsi"/>
                <w:b/>
                <w:color w:val="000000"/>
                <w:sz w:val="18"/>
                <w:lang w:eastAsia="es-MX"/>
              </w:rPr>
            </w:pPr>
          </w:p>
          <w:p w14:paraId="289FA582" w14:textId="77777777" w:rsidR="000B2089" w:rsidRPr="002150BE" w:rsidRDefault="000B2089" w:rsidP="00603217">
            <w:pPr>
              <w:spacing w:after="0" w:line="240" w:lineRule="auto"/>
              <w:jc w:val="center"/>
              <w:rPr>
                <w:rFonts w:asciiTheme="minorHAnsi" w:hAnsiTheme="minorHAnsi" w:cstheme="minorHAnsi"/>
                <w:b/>
                <w:color w:val="000000"/>
                <w:sz w:val="18"/>
                <w:lang w:eastAsia="es-MX"/>
              </w:rPr>
            </w:pPr>
          </w:p>
          <w:p w14:paraId="1B34BE4A" w14:textId="77777777" w:rsidR="000B2089" w:rsidRPr="002150BE" w:rsidRDefault="000B2089" w:rsidP="00603217">
            <w:pPr>
              <w:spacing w:after="0" w:line="240" w:lineRule="auto"/>
              <w:jc w:val="center"/>
              <w:rPr>
                <w:rFonts w:asciiTheme="minorHAnsi" w:hAnsiTheme="minorHAnsi" w:cstheme="minorHAnsi"/>
                <w:b/>
                <w:color w:val="000000"/>
                <w:sz w:val="18"/>
                <w:lang w:eastAsia="es-MX"/>
              </w:rPr>
            </w:pPr>
          </w:p>
          <w:p w14:paraId="08BDB2DB" w14:textId="77777777" w:rsidR="000B2089" w:rsidRPr="002150BE" w:rsidRDefault="000B2089" w:rsidP="00603217">
            <w:pPr>
              <w:spacing w:after="0" w:line="240" w:lineRule="auto"/>
              <w:jc w:val="center"/>
              <w:rPr>
                <w:rFonts w:asciiTheme="minorHAnsi" w:hAnsiTheme="minorHAnsi" w:cstheme="minorHAnsi"/>
                <w:b/>
                <w:color w:val="000000"/>
                <w:sz w:val="18"/>
                <w:lang w:eastAsia="es-MX"/>
              </w:rPr>
            </w:pPr>
          </w:p>
          <w:p w14:paraId="762E613A" w14:textId="77777777" w:rsidR="000B2089" w:rsidRPr="002150BE" w:rsidRDefault="000B2089" w:rsidP="00603217">
            <w:pPr>
              <w:spacing w:after="0" w:line="240" w:lineRule="auto"/>
              <w:jc w:val="center"/>
              <w:rPr>
                <w:rFonts w:asciiTheme="minorHAnsi" w:hAnsiTheme="minorHAnsi" w:cstheme="minorHAnsi"/>
                <w:b/>
                <w:color w:val="000000"/>
                <w:sz w:val="18"/>
                <w:lang w:eastAsia="es-MX"/>
              </w:rPr>
            </w:pPr>
          </w:p>
          <w:p w14:paraId="1214BBDE" w14:textId="77777777" w:rsidR="000B2089" w:rsidRPr="002150BE" w:rsidRDefault="000B2089" w:rsidP="00603217">
            <w:pPr>
              <w:spacing w:after="0" w:line="240" w:lineRule="auto"/>
              <w:jc w:val="center"/>
              <w:rPr>
                <w:rFonts w:asciiTheme="minorHAnsi" w:hAnsiTheme="minorHAnsi" w:cstheme="minorHAnsi"/>
                <w:b/>
                <w:color w:val="000000"/>
                <w:sz w:val="18"/>
                <w:lang w:eastAsia="es-MX"/>
              </w:rPr>
            </w:pPr>
          </w:p>
          <w:p w14:paraId="556E6B54" w14:textId="77777777" w:rsidR="000B2089" w:rsidRPr="002150BE" w:rsidRDefault="000B2089" w:rsidP="00603217">
            <w:pPr>
              <w:spacing w:after="0" w:line="240" w:lineRule="auto"/>
              <w:jc w:val="center"/>
              <w:rPr>
                <w:rFonts w:asciiTheme="minorHAnsi" w:hAnsiTheme="minorHAnsi" w:cstheme="minorHAnsi"/>
                <w:b/>
                <w:color w:val="000000"/>
                <w:sz w:val="18"/>
                <w:lang w:eastAsia="es-MX"/>
              </w:rPr>
            </w:pPr>
          </w:p>
          <w:p w14:paraId="273BECA6" w14:textId="77777777" w:rsidR="000B2089" w:rsidRPr="002150BE" w:rsidRDefault="000B2089" w:rsidP="00603217">
            <w:pPr>
              <w:spacing w:after="0" w:line="240" w:lineRule="auto"/>
              <w:jc w:val="center"/>
              <w:rPr>
                <w:rFonts w:asciiTheme="minorHAnsi" w:hAnsiTheme="minorHAnsi" w:cstheme="minorHAnsi"/>
                <w:b/>
                <w:color w:val="000000"/>
                <w:sz w:val="18"/>
                <w:lang w:eastAsia="es-MX"/>
              </w:rPr>
            </w:pPr>
          </w:p>
          <w:p w14:paraId="2B52F8AD" w14:textId="77777777" w:rsidR="000B2089" w:rsidRPr="002150BE" w:rsidRDefault="000B2089" w:rsidP="00603217">
            <w:pPr>
              <w:spacing w:after="0" w:line="240" w:lineRule="auto"/>
              <w:jc w:val="center"/>
              <w:rPr>
                <w:rFonts w:asciiTheme="minorHAnsi" w:hAnsiTheme="minorHAnsi" w:cstheme="minorHAnsi"/>
                <w:b/>
                <w:color w:val="000000"/>
                <w:sz w:val="18"/>
                <w:lang w:eastAsia="es-MX"/>
              </w:rPr>
            </w:pPr>
          </w:p>
          <w:p w14:paraId="01D051CF" w14:textId="77777777" w:rsidR="000B2089" w:rsidRPr="002150BE" w:rsidRDefault="000B2089" w:rsidP="00603217">
            <w:pPr>
              <w:spacing w:after="0" w:line="240" w:lineRule="auto"/>
              <w:jc w:val="center"/>
              <w:rPr>
                <w:rFonts w:asciiTheme="minorHAnsi" w:hAnsiTheme="minorHAnsi" w:cstheme="minorHAnsi"/>
                <w:b/>
                <w:color w:val="000000"/>
                <w:sz w:val="18"/>
                <w:lang w:eastAsia="es-MX"/>
              </w:rPr>
            </w:pPr>
          </w:p>
          <w:p w14:paraId="209819CC" w14:textId="77777777" w:rsidR="000B2089" w:rsidRPr="002150BE" w:rsidRDefault="000B2089" w:rsidP="00603217">
            <w:pPr>
              <w:spacing w:after="0" w:line="240" w:lineRule="auto"/>
              <w:jc w:val="center"/>
              <w:rPr>
                <w:rFonts w:asciiTheme="minorHAnsi" w:hAnsiTheme="minorHAnsi" w:cstheme="minorHAnsi"/>
                <w:b/>
                <w:color w:val="000000"/>
                <w:sz w:val="18"/>
                <w:lang w:eastAsia="es-MX"/>
              </w:rPr>
            </w:pPr>
          </w:p>
          <w:p w14:paraId="72163A57" w14:textId="77777777" w:rsidR="000B2089" w:rsidRPr="002150BE" w:rsidRDefault="000B2089" w:rsidP="00603217">
            <w:pPr>
              <w:spacing w:after="0" w:line="240" w:lineRule="auto"/>
              <w:jc w:val="center"/>
              <w:rPr>
                <w:rFonts w:asciiTheme="minorHAnsi" w:hAnsiTheme="minorHAnsi" w:cstheme="minorHAnsi"/>
                <w:b/>
                <w:color w:val="000000"/>
                <w:sz w:val="18"/>
                <w:lang w:eastAsia="es-MX"/>
              </w:rPr>
            </w:pPr>
          </w:p>
          <w:p w14:paraId="0ED2F8D9" w14:textId="77777777" w:rsidR="000B2089" w:rsidRPr="002150BE" w:rsidRDefault="000B2089" w:rsidP="00603217">
            <w:pPr>
              <w:spacing w:after="0" w:line="240" w:lineRule="auto"/>
              <w:jc w:val="center"/>
              <w:rPr>
                <w:rFonts w:asciiTheme="minorHAnsi" w:hAnsiTheme="minorHAnsi" w:cstheme="minorHAnsi"/>
                <w:b/>
                <w:color w:val="000000"/>
                <w:sz w:val="18"/>
                <w:lang w:eastAsia="es-MX"/>
              </w:rPr>
            </w:pPr>
          </w:p>
          <w:p w14:paraId="20D732BD" w14:textId="77777777" w:rsidR="000B2089" w:rsidRPr="002150BE" w:rsidRDefault="000B2089" w:rsidP="00603217">
            <w:pPr>
              <w:spacing w:after="0" w:line="240" w:lineRule="auto"/>
              <w:jc w:val="center"/>
              <w:rPr>
                <w:rFonts w:asciiTheme="minorHAnsi" w:hAnsiTheme="minorHAnsi" w:cstheme="minorHAnsi"/>
                <w:b/>
                <w:color w:val="000000"/>
                <w:sz w:val="18"/>
                <w:lang w:eastAsia="es-MX"/>
              </w:rPr>
            </w:pPr>
          </w:p>
          <w:p w14:paraId="0AEDB027" w14:textId="77777777" w:rsidR="000B2089" w:rsidRPr="002150BE" w:rsidRDefault="000B2089" w:rsidP="00603217">
            <w:pPr>
              <w:spacing w:after="0" w:line="240" w:lineRule="auto"/>
              <w:jc w:val="center"/>
              <w:rPr>
                <w:rFonts w:asciiTheme="minorHAnsi" w:hAnsiTheme="minorHAnsi" w:cstheme="minorHAnsi"/>
                <w:b/>
                <w:color w:val="000000"/>
                <w:sz w:val="18"/>
                <w:lang w:eastAsia="es-MX"/>
              </w:rPr>
            </w:pPr>
          </w:p>
          <w:p w14:paraId="10A03FCA" w14:textId="77777777" w:rsidR="000B2089" w:rsidRPr="002150BE" w:rsidRDefault="000B2089" w:rsidP="00603217">
            <w:pPr>
              <w:spacing w:after="0" w:line="240" w:lineRule="auto"/>
              <w:jc w:val="center"/>
              <w:rPr>
                <w:rFonts w:asciiTheme="minorHAnsi" w:hAnsiTheme="minorHAnsi" w:cstheme="minorHAnsi"/>
                <w:b/>
                <w:color w:val="000000"/>
                <w:sz w:val="18"/>
                <w:lang w:eastAsia="es-MX"/>
              </w:rPr>
            </w:pPr>
          </w:p>
          <w:p w14:paraId="399205B6" w14:textId="77777777" w:rsidR="000B2089" w:rsidRPr="002150BE" w:rsidRDefault="000B2089" w:rsidP="00603217">
            <w:pPr>
              <w:spacing w:after="0" w:line="240" w:lineRule="auto"/>
              <w:jc w:val="center"/>
              <w:rPr>
                <w:rFonts w:asciiTheme="minorHAnsi" w:hAnsiTheme="minorHAnsi" w:cstheme="minorHAnsi"/>
                <w:b/>
                <w:color w:val="000000"/>
                <w:sz w:val="18"/>
                <w:lang w:eastAsia="es-MX"/>
              </w:rPr>
            </w:pPr>
          </w:p>
          <w:p w14:paraId="218CED12" w14:textId="05645DBF" w:rsidR="000B2089" w:rsidRPr="002150BE" w:rsidRDefault="000B2089" w:rsidP="00603217">
            <w:pPr>
              <w:spacing w:after="0" w:line="240" w:lineRule="auto"/>
              <w:jc w:val="center"/>
              <w:rPr>
                <w:rFonts w:asciiTheme="minorHAnsi" w:hAnsiTheme="minorHAnsi" w:cstheme="minorHAnsi"/>
                <w:b/>
                <w:color w:val="000000"/>
                <w:sz w:val="18"/>
                <w:lang w:eastAsia="es-MX"/>
              </w:rPr>
            </w:pPr>
          </w:p>
        </w:tc>
        <w:tc>
          <w:tcPr>
            <w:tcW w:w="2008" w:type="dxa"/>
            <w:gridSpan w:val="2"/>
            <w:tcBorders>
              <w:top w:val="nil"/>
              <w:left w:val="nil"/>
              <w:bottom w:val="nil"/>
              <w:right w:val="nil"/>
            </w:tcBorders>
          </w:tcPr>
          <w:p w14:paraId="6E968C0E" w14:textId="77777777" w:rsidR="00603217" w:rsidRPr="002150BE" w:rsidRDefault="00603217" w:rsidP="00603217">
            <w:pPr>
              <w:spacing w:after="0" w:line="240" w:lineRule="auto"/>
              <w:rPr>
                <w:rFonts w:asciiTheme="minorHAnsi" w:hAnsiTheme="minorHAnsi" w:cstheme="minorHAnsi"/>
                <w:color w:val="262626"/>
                <w:sz w:val="8"/>
                <w:szCs w:val="8"/>
                <w:lang w:eastAsia="es-MX"/>
              </w:rPr>
            </w:pPr>
          </w:p>
        </w:tc>
        <w:tc>
          <w:tcPr>
            <w:tcW w:w="1030" w:type="dxa"/>
            <w:tcBorders>
              <w:top w:val="nil"/>
              <w:left w:val="nil"/>
              <w:bottom w:val="nil"/>
              <w:right w:val="nil"/>
            </w:tcBorders>
            <w:vAlign w:val="center"/>
          </w:tcPr>
          <w:p w14:paraId="2087D944" w14:textId="77777777" w:rsidR="00603217" w:rsidRPr="002150BE" w:rsidRDefault="00603217" w:rsidP="00603217">
            <w:pPr>
              <w:spacing w:after="0" w:line="240" w:lineRule="auto"/>
              <w:rPr>
                <w:rFonts w:asciiTheme="minorHAnsi" w:hAnsiTheme="minorHAnsi" w:cstheme="minorHAnsi"/>
                <w:color w:val="262626"/>
                <w:sz w:val="18"/>
                <w:lang w:eastAsia="es-MX"/>
              </w:rPr>
            </w:pPr>
          </w:p>
        </w:tc>
        <w:tc>
          <w:tcPr>
            <w:tcW w:w="1030" w:type="dxa"/>
            <w:tcBorders>
              <w:top w:val="nil"/>
              <w:left w:val="nil"/>
              <w:bottom w:val="nil"/>
              <w:right w:val="nil"/>
            </w:tcBorders>
            <w:vAlign w:val="center"/>
          </w:tcPr>
          <w:p w14:paraId="16A6DA00" w14:textId="77777777" w:rsidR="00603217" w:rsidRPr="002150BE" w:rsidRDefault="00603217" w:rsidP="00603217">
            <w:pPr>
              <w:spacing w:after="0" w:line="240" w:lineRule="auto"/>
              <w:rPr>
                <w:rFonts w:asciiTheme="minorHAnsi" w:hAnsiTheme="minorHAnsi" w:cstheme="minorHAnsi"/>
                <w:sz w:val="18"/>
                <w:lang w:eastAsia="es-MX"/>
              </w:rPr>
            </w:pPr>
          </w:p>
        </w:tc>
        <w:tc>
          <w:tcPr>
            <w:tcW w:w="1023" w:type="dxa"/>
            <w:gridSpan w:val="2"/>
            <w:tcBorders>
              <w:top w:val="nil"/>
              <w:left w:val="nil"/>
              <w:bottom w:val="nil"/>
              <w:right w:val="nil"/>
            </w:tcBorders>
            <w:vAlign w:val="center"/>
          </w:tcPr>
          <w:p w14:paraId="1A05F2BE" w14:textId="77777777" w:rsidR="00603217" w:rsidRPr="002150BE" w:rsidRDefault="00603217" w:rsidP="00603217">
            <w:pPr>
              <w:spacing w:after="0" w:line="240" w:lineRule="auto"/>
              <w:rPr>
                <w:rFonts w:asciiTheme="minorHAnsi" w:hAnsiTheme="minorHAnsi" w:cstheme="minorHAnsi"/>
                <w:sz w:val="18"/>
                <w:lang w:eastAsia="es-MX"/>
              </w:rPr>
            </w:pPr>
          </w:p>
        </w:tc>
        <w:tc>
          <w:tcPr>
            <w:tcW w:w="1023" w:type="dxa"/>
            <w:tcBorders>
              <w:top w:val="nil"/>
              <w:left w:val="nil"/>
              <w:bottom w:val="nil"/>
              <w:right w:val="nil"/>
            </w:tcBorders>
            <w:vAlign w:val="center"/>
            <w:hideMark/>
          </w:tcPr>
          <w:p w14:paraId="713E1419" w14:textId="64749349" w:rsidR="00603217" w:rsidRPr="002150BE" w:rsidRDefault="00603217" w:rsidP="00603217">
            <w:pPr>
              <w:spacing w:after="0" w:line="240" w:lineRule="auto"/>
              <w:rPr>
                <w:rFonts w:asciiTheme="minorHAnsi" w:hAnsiTheme="minorHAnsi" w:cstheme="minorHAnsi"/>
                <w:sz w:val="18"/>
                <w:lang w:eastAsia="es-MX"/>
              </w:rPr>
            </w:pPr>
          </w:p>
        </w:tc>
        <w:tc>
          <w:tcPr>
            <w:tcW w:w="160" w:type="dxa"/>
            <w:tcBorders>
              <w:top w:val="nil"/>
              <w:left w:val="nil"/>
              <w:bottom w:val="nil"/>
              <w:right w:val="nil"/>
            </w:tcBorders>
            <w:vAlign w:val="center"/>
            <w:hideMark/>
          </w:tcPr>
          <w:p w14:paraId="7596024F" w14:textId="76F8258E" w:rsidR="00603217" w:rsidRPr="002150BE" w:rsidRDefault="00603217" w:rsidP="00603217">
            <w:pPr>
              <w:spacing w:after="0" w:line="240" w:lineRule="auto"/>
              <w:rPr>
                <w:rFonts w:asciiTheme="minorHAnsi" w:hAnsiTheme="minorHAnsi" w:cstheme="minorHAnsi"/>
                <w:sz w:val="18"/>
                <w:lang w:eastAsia="es-MX"/>
              </w:rPr>
            </w:pPr>
          </w:p>
        </w:tc>
        <w:tc>
          <w:tcPr>
            <w:tcW w:w="1026" w:type="dxa"/>
            <w:tcBorders>
              <w:top w:val="nil"/>
              <w:left w:val="nil"/>
              <w:bottom w:val="nil"/>
              <w:right w:val="nil"/>
            </w:tcBorders>
            <w:vAlign w:val="center"/>
            <w:hideMark/>
          </w:tcPr>
          <w:p w14:paraId="6DA0C4A2" w14:textId="77777777" w:rsidR="00603217" w:rsidRPr="002150BE" w:rsidRDefault="00603217" w:rsidP="00603217">
            <w:pPr>
              <w:spacing w:after="0" w:line="240" w:lineRule="auto"/>
              <w:rPr>
                <w:rFonts w:asciiTheme="minorHAnsi" w:hAnsiTheme="minorHAnsi" w:cstheme="minorHAnsi"/>
                <w:sz w:val="18"/>
                <w:lang w:eastAsia="es-MX"/>
              </w:rPr>
            </w:pPr>
          </w:p>
          <w:p w14:paraId="7D7C7793" w14:textId="77777777" w:rsidR="00901755" w:rsidRPr="002150BE" w:rsidRDefault="00901755" w:rsidP="00603217">
            <w:pPr>
              <w:spacing w:after="0" w:line="240" w:lineRule="auto"/>
              <w:rPr>
                <w:rFonts w:asciiTheme="minorHAnsi" w:hAnsiTheme="minorHAnsi" w:cstheme="minorHAnsi"/>
                <w:sz w:val="18"/>
                <w:lang w:eastAsia="es-MX"/>
              </w:rPr>
            </w:pPr>
          </w:p>
          <w:p w14:paraId="5CC6EE20" w14:textId="77777777" w:rsidR="00901755" w:rsidRPr="002150BE" w:rsidRDefault="00901755" w:rsidP="00603217">
            <w:pPr>
              <w:spacing w:after="0" w:line="240" w:lineRule="auto"/>
              <w:rPr>
                <w:rFonts w:asciiTheme="minorHAnsi" w:hAnsiTheme="minorHAnsi" w:cstheme="minorHAnsi"/>
                <w:sz w:val="18"/>
                <w:lang w:eastAsia="es-MX"/>
              </w:rPr>
            </w:pPr>
          </w:p>
          <w:p w14:paraId="5B44E3DA" w14:textId="77777777" w:rsidR="00901755" w:rsidRPr="002150BE" w:rsidRDefault="00901755" w:rsidP="00603217">
            <w:pPr>
              <w:spacing w:after="0" w:line="240" w:lineRule="auto"/>
              <w:rPr>
                <w:rFonts w:asciiTheme="minorHAnsi" w:hAnsiTheme="minorHAnsi" w:cstheme="minorHAnsi"/>
                <w:sz w:val="18"/>
                <w:lang w:eastAsia="es-MX"/>
              </w:rPr>
            </w:pPr>
          </w:p>
          <w:p w14:paraId="2066FB66" w14:textId="77777777" w:rsidR="00901755" w:rsidRPr="002150BE" w:rsidRDefault="00901755" w:rsidP="00603217">
            <w:pPr>
              <w:spacing w:after="0" w:line="240" w:lineRule="auto"/>
              <w:rPr>
                <w:rFonts w:asciiTheme="minorHAnsi" w:hAnsiTheme="minorHAnsi" w:cstheme="minorHAnsi"/>
                <w:sz w:val="18"/>
                <w:lang w:eastAsia="es-MX"/>
              </w:rPr>
            </w:pPr>
          </w:p>
          <w:p w14:paraId="597ECAD6" w14:textId="77777777" w:rsidR="00901755" w:rsidRPr="002150BE" w:rsidRDefault="00901755" w:rsidP="00603217">
            <w:pPr>
              <w:spacing w:after="0" w:line="240" w:lineRule="auto"/>
              <w:rPr>
                <w:rFonts w:asciiTheme="minorHAnsi" w:hAnsiTheme="minorHAnsi" w:cstheme="minorHAnsi"/>
                <w:sz w:val="18"/>
                <w:lang w:eastAsia="es-MX"/>
              </w:rPr>
            </w:pPr>
          </w:p>
          <w:p w14:paraId="3ADCE09D" w14:textId="77777777" w:rsidR="00901755" w:rsidRPr="002150BE" w:rsidRDefault="00901755" w:rsidP="00603217">
            <w:pPr>
              <w:spacing w:after="0" w:line="240" w:lineRule="auto"/>
              <w:rPr>
                <w:rFonts w:asciiTheme="minorHAnsi" w:hAnsiTheme="minorHAnsi" w:cstheme="minorHAnsi"/>
                <w:sz w:val="18"/>
                <w:lang w:eastAsia="es-MX"/>
              </w:rPr>
            </w:pPr>
          </w:p>
          <w:p w14:paraId="4385C4AC" w14:textId="77777777" w:rsidR="00901755" w:rsidRPr="002150BE" w:rsidRDefault="00901755" w:rsidP="00603217">
            <w:pPr>
              <w:spacing w:after="0" w:line="240" w:lineRule="auto"/>
              <w:rPr>
                <w:rFonts w:asciiTheme="minorHAnsi" w:hAnsiTheme="minorHAnsi" w:cstheme="minorHAnsi"/>
                <w:sz w:val="18"/>
                <w:lang w:eastAsia="es-MX"/>
              </w:rPr>
            </w:pPr>
          </w:p>
          <w:p w14:paraId="35238B42" w14:textId="77777777" w:rsidR="00901755" w:rsidRPr="002150BE" w:rsidRDefault="00901755" w:rsidP="00603217">
            <w:pPr>
              <w:spacing w:after="0" w:line="240" w:lineRule="auto"/>
              <w:rPr>
                <w:rFonts w:asciiTheme="minorHAnsi" w:hAnsiTheme="minorHAnsi" w:cstheme="minorHAnsi"/>
                <w:sz w:val="18"/>
                <w:lang w:eastAsia="es-MX"/>
              </w:rPr>
            </w:pPr>
          </w:p>
          <w:p w14:paraId="7B2410B4" w14:textId="77777777" w:rsidR="00901755" w:rsidRPr="002150BE" w:rsidRDefault="00901755" w:rsidP="00603217">
            <w:pPr>
              <w:spacing w:after="0" w:line="240" w:lineRule="auto"/>
              <w:rPr>
                <w:rFonts w:asciiTheme="minorHAnsi" w:hAnsiTheme="minorHAnsi" w:cstheme="minorHAnsi"/>
                <w:sz w:val="18"/>
                <w:lang w:eastAsia="es-MX"/>
              </w:rPr>
            </w:pPr>
          </w:p>
          <w:p w14:paraId="23CE7FDA" w14:textId="77777777" w:rsidR="00901755" w:rsidRPr="002150BE" w:rsidRDefault="00901755" w:rsidP="00603217">
            <w:pPr>
              <w:spacing w:after="0" w:line="240" w:lineRule="auto"/>
              <w:rPr>
                <w:rFonts w:asciiTheme="minorHAnsi" w:hAnsiTheme="minorHAnsi" w:cstheme="minorHAnsi"/>
                <w:sz w:val="18"/>
                <w:lang w:eastAsia="es-MX"/>
              </w:rPr>
            </w:pPr>
          </w:p>
          <w:p w14:paraId="0A494057" w14:textId="77777777" w:rsidR="00901755" w:rsidRPr="002150BE" w:rsidRDefault="00901755" w:rsidP="00603217">
            <w:pPr>
              <w:spacing w:after="0" w:line="240" w:lineRule="auto"/>
              <w:rPr>
                <w:rFonts w:asciiTheme="minorHAnsi" w:hAnsiTheme="minorHAnsi" w:cstheme="minorHAnsi"/>
                <w:sz w:val="18"/>
                <w:lang w:eastAsia="es-MX"/>
              </w:rPr>
            </w:pPr>
          </w:p>
          <w:p w14:paraId="2B77949B" w14:textId="77777777" w:rsidR="00901755" w:rsidRPr="002150BE" w:rsidRDefault="00901755" w:rsidP="00603217">
            <w:pPr>
              <w:spacing w:after="0" w:line="240" w:lineRule="auto"/>
              <w:rPr>
                <w:rFonts w:asciiTheme="minorHAnsi" w:hAnsiTheme="minorHAnsi" w:cstheme="minorHAnsi"/>
                <w:sz w:val="18"/>
                <w:lang w:eastAsia="es-MX"/>
              </w:rPr>
            </w:pPr>
          </w:p>
          <w:p w14:paraId="2675652E" w14:textId="77777777" w:rsidR="00901755" w:rsidRPr="002150BE" w:rsidRDefault="00901755" w:rsidP="00603217">
            <w:pPr>
              <w:spacing w:after="0" w:line="240" w:lineRule="auto"/>
              <w:rPr>
                <w:rFonts w:asciiTheme="minorHAnsi" w:hAnsiTheme="minorHAnsi" w:cstheme="minorHAnsi"/>
                <w:sz w:val="18"/>
                <w:lang w:eastAsia="es-MX"/>
              </w:rPr>
            </w:pPr>
          </w:p>
          <w:p w14:paraId="12C1A523" w14:textId="77777777" w:rsidR="00901755" w:rsidRPr="002150BE" w:rsidRDefault="00901755" w:rsidP="00603217">
            <w:pPr>
              <w:spacing w:after="0" w:line="240" w:lineRule="auto"/>
              <w:rPr>
                <w:rFonts w:asciiTheme="minorHAnsi" w:hAnsiTheme="minorHAnsi" w:cstheme="minorHAnsi"/>
                <w:sz w:val="18"/>
                <w:lang w:eastAsia="es-MX"/>
              </w:rPr>
            </w:pPr>
          </w:p>
          <w:p w14:paraId="695A69B3" w14:textId="77777777" w:rsidR="00901755" w:rsidRPr="002150BE" w:rsidRDefault="00901755" w:rsidP="00603217">
            <w:pPr>
              <w:spacing w:after="0" w:line="240" w:lineRule="auto"/>
              <w:rPr>
                <w:rFonts w:asciiTheme="minorHAnsi" w:hAnsiTheme="minorHAnsi" w:cstheme="minorHAnsi"/>
                <w:sz w:val="18"/>
                <w:lang w:eastAsia="es-MX"/>
              </w:rPr>
            </w:pPr>
          </w:p>
          <w:p w14:paraId="2FD27779" w14:textId="77777777" w:rsidR="00901755" w:rsidRPr="002150BE" w:rsidRDefault="00901755" w:rsidP="00603217">
            <w:pPr>
              <w:spacing w:after="0" w:line="240" w:lineRule="auto"/>
              <w:rPr>
                <w:rFonts w:asciiTheme="minorHAnsi" w:hAnsiTheme="minorHAnsi" w:cstheme="minorHAnsi"/>
                <w:sz w:val="18"/>
                <w:lang w:eastAsia="es-MX"/>
              </w:rPr>
            </w:pPr>
          </w:p>
          <w:p w14:paraId="414575C5" w14:textId="77777777" w:rsidR="00901755" w:rsidRPr="002150BE" w:rsidRDefault="00901755" w:rsidP="00603217">
            <w:pPr>
              <w:spacing w:after="0" w:line="240" w:lineRule="auto"/>
              <w:rPr>
                <w:rFonts w:asciiTheme="minorHAnsi" w:hAnsiTheme="minorHAnsi" w:cstheme="minorHAnsi"/>
                <w:sz w:val="18"/>
                <w:lang w:eastAsia="es-MX"/>
              </w:rPr>
            </w:pPr>
          </w:p>
          <w:p w14:paraId="1681BC13" w14:textId="77777777" w:rsidR="00901755" w:rsidRPr="002150BE" w:rsidRDefault="00901755" w:rsidP="00603217">
            <w:pPr>
              <w:spacing w:after="0" w:line="240" w:lineRule="auto"/>
              <w:rPr>
                <w:rFonts w:asciiTheme="minorHAnsi" w:hAnsiTheme="minorHAnsi" w:cstheme="minorHAnsi"/>
                <w:sz w:val="18"/>
                <w:lang w:eastAsia="es-MX"/>
              </w:rPr>
            </w:pPr>
          </w:p>
          <w:p w14:paraId="79456F79" w14:textId="77777777" w:rsidR="00901755" w:rsidRPr="002150BE" w:rsidRDefault="00901755" w:rsidP="00603217">
            <w:pPr>
              <w:spacing w:after="0" w:line="240" w:lineRule="auto"/>
              <w:rPr>
                <w:rFonts w:asciiTheme="minorHAnsi" w:hAnsiTheme="minorHAnsi" w:cstheme="minorHAnsi"/>
                <w:sz w:val="18"/>
                <w:lang w:eastAsia="es-MX"/>
              </w:rPr>
            </w:pPr>
          </w:p>
          <w:p w14:paraId="16E37B06" w14:textId="15A062E8" w:rsidR="00901755" w:rsidRPr="002150BE" w:rsidRDefault="00901755" w:rsidP="00603217">
            <w:pPr>
              <w:spacing w:after="0" w:line="240" w:lineRule="auto"/>
              <w:rPr>
                <w:rFonts w:asciiTheme="minorHAnsi" w:hAnsiTheme="minorHAnsi" w:cstheme="minorHAnsi"/>
                <w:sz w:val="18"/>
                <w:lang w:eastAsia="es-MX"/>
              </w:rPr>
            </w:pPr>
          </w:p>
        </w:tc>
        <w:tc>
          <w:tcPr>
            <w:tcW w:w="162" w:type="dxa"/>
            <w:tcBorders>
              <w:top w:val="nil"/>
              <w:left w:val="nil"/>
              <w:bottom w:val="nil"/>
              <w:right w:val="nil"/>
            </w:tcBorders>
            <w:vAlign w:val="center"/>
            <w:hideMark/>
          </w:tcPr>
          <w:p w14:paraId="2FF3656E" w14:textId="77777777" w:rsidR="00603217" w:rsidRPr="002150BE" w:rsidRDefault="00603217" w:rsidP="00603217">
            <w:pPr>
              <w:spacing w:after="0" w:line="240" w:lineRule="auto"/>
              <w:rPr>
                <w:rFonts w:asciiTheme="minorHAnsi" w:hAnsiTheme="minorHAnsi" w:cstheme="minorHAnsi"/>
                <w:sz w:val="18"/>
                <w:lang w:eastAsia="es-MX"/>
              </w:rPr>
            </w:pPr>
          </w:p>
        </w:tc>
        <w:tc>
          <w:tcPr>
            <w:tcW w:w="161" w:type="dxa"/>
            <w:tcBorders>
              <w:top w:val="nil"/>
              <w:left w:val="nil"/>
              <w:bottom w:val="nil"/>
              <w:right w:val="nil"/>
            </w:tcBorders>
            <w:vAlign w:val="center"/>
            <w:hideMark/>
          </w:tcPr>
          <w:p w14:paraId="2786F50B" w14:textId="77777777" w:rsidR="00603217" w:rsidRPr="002150BE" w:rsidRDefault="00603217" w:rsidP="00603217">
            <w:pPr>
              <w:spacing w:after="0" w:line="240" w:lineRule="auto"/>
              <w:rPr>
                <w:rFonts w:asciiTheme="minorHAnsi" w:hAnsiTheme="minorHAnsi" w:cstheme="minorHAnsi"/>
                <w:sz w:val="18"/>
                <w:lang w:eastAsia="es-MX"/>
              </w:rPr>
            </w:pPr>
          </w:p>
        </w:tc>
        <w:tc>
          <w:tcPr>
            <w:tcW w:w="160" w:type="dxa"/>
            <w:tcBorders>
              <w:top w:val="nil"/>
              <w:left w:val="nil"/>
              <w:bottom w:val="nil"/>
              <w:right w:val="nil"/>
            </w:tcBorders>
            <w:vAlign w:val="center"/>
            <w:hideMark/>
          </w:tcPr>
          <w:p w14:paraId="7F7376CB" w14:textId="77777777" w:rsidR="00603217" w:rsidRPr="002150BE" w:rsidRDefault="00603217" w:rsidP="00603217">
            <w:pPr>
              <w:spacing w:after="0" w:line="240" w:lineRule="auto"/>
              <w:rPr>
                <w:rFonts w:asciiTheme="minorHAnsi" w:hAnsiTheme="minorHAnsi" w:cstheme="minorHAnsi"/>
                <w:sz w:val="18"/>
                <w:lang w:eastAsia="es-MX"/>
              </w:rPr>
            </w:pPr>
          </w:p>
        </w:tc>
        <w:tc>
          <w:tcPr>
            <w:tcW w:w="172" w:type="dxa"/>
            <w:tcBorders>
              <w:top w:val="nil"/>
              <w:left w:val="nil"/>
              <w:bottom w:val="nil"/>
              <w:right w:val="single" w:sz="4" w:space="0" w:color="BFBFBF" w:themeColor="background1" w:themeShade="BF"/>
            </w:tcBorders>
            <w:vAlign w:val="center"/>
            <w:hideMark/>
          </w:tcPr>
          <w:p w14:paraId="0BA134BF" w14:textId="77777777" w:rsidR="00603217" w:rsidRPr="002150BE" w:rsidRDefault="00603217" w:rsidP="00603217">
            <w:pPr>
              <w:spacing w:after="0" w:line="240" w:lineRule="auto"/>
              <w:rPr>
                <w:rFonts w:asciiTheme="minorHAnsi" w:hAnsiTheme="minorHAnsi" w:cstheme="minorHAnsi"/>
                <w:color w:val="262626"/>
                <w:sz w:val="18"/>
                <w:lang w:eastAsia="es-MX"/>
              </w:rPr>
            </w:pPr>
            <w:r w:rsidRPr="002150BE">
              <w:rPr>
                <w:rFonts w:asciiTheme="minorHAnsi" w:hAnsiTheme="minorHAnsi" w:cstheme="minorHAnsi"/>
                <w:color w:val="262626"/>
                <w:sz w:val="18"/>
                <w:lang w:eastAsia="es-MX"/>
              </w:rPr>
              <w:t> </w:t>
            </w:r>
          </w:p>
        </w:tc>
      </w:tr>
      <w:tr w:rsidR="00901755" w:rsidRPr="002150BE" w14:paraId="51655309" w14:textId="77777777" w:rsidTr="00901755">
        <w:tblPrEx>
          <w:tblLook w:val="0480" w:firstRow="0" w:lastRow="0" w:firstColumn="1" w:lastColumn="0" w:noHBand="0" w:noVBand="1"/>
        </w:tblPrEx>
        <w:trPr>
          <w:trHeight w:val="302"/>
        </w:trPr>
        <w:tc>
          <w:tcPr>
            <w:tcW w:w="873" w:type="dxa"/>
            <w:tcBorders>
              <w:top w:val="nil"/>
              <w:left w:val="single" w:sz="4" w:space="0" w:color="BFBFBF" w:themeColor="background1" w:themeShade="BF"/>
              <w:bottom w:val="single" w:sz="4" w:space="0" w:color="BFBFBF" w:themeColor="background1" w:themeShade="BF"/>
              <w:right w:val="nil"/>
            </w:tcBorders>
            <w:noWrap/>
            <w:vAlign w:val="center"/>
          </w:tcPr>
          <w:p w14:paraId="0E85F49D" w14:textId="5442AE67" w:rsidR="00603217" w:rsidRPr="002150BE" w:rsidRDefault="00603217" w:rsidP="00603217">
            <w:pPr>
              <w:spacing w:after="0" w:line="240" w:lineRule="auto"/>
              <w:jc w:val="center"/>
              <w:rPr>
                <w:rFonts w:asciiTheme="minorHAnsi" w:hAnsiTheme="minorHAnsi" w:cstheme="minorHAnsi"/>
                <w:b/>
                <w:color w:val="000000"/>
                <w:sz w:val="18"/>
                <w:lang w:eastAsia="es-MX"/>
              </w:rPr>
            </w:pPr>
          </w:p>
        </w:tc>
        <w:tc>
          <w:tcPr>
            <w:tcW w:w="2008" w:type="dxa"/>
            <w:gridSpan w:val="2"/>
            <w:tcBorders>
              <w:top w:val="nil"/>
              <w:left w:val="nil"/>
              <w:bottom w:val="single" w:sz="4" w:space="0" w:color="BFBFBF" w:themeColor="background1" w:themeShade="BF"/>
              <w:right w:val="nil"/>
            </w:tcBorders>
          </w:tcPr>
          <w:p w14:paraId="4405DBF7" w14:textId="766D2573" w:rsidR="00603217" w:rsidRPr="002150BE" w:rsidRDefault="00603217" w:rsidP="00603217">
            <w:pPr>
              <w:spacing w:after="0" w:line="240" w:lineRule="auto"/>
              <w:rPr>
                <w:rFonts w:asciiTheme="minorHAnsi" w:hAnsiTheme="minorHAnsi" w:cstheme="minorHAnsi"/>
                <w:color w:val="262626"/>
                <w:sz w:val="18"/>
                <w:lang w:eastAsia="es-MX"/>
              </w:rPr>
            </w:pPr>
          </w:p>
        </w:tc>
        <w:tc>
          <w:tcPr>
            <w:tcW w:w="1030" w:type="dxa"/>
            <w:tcBorders>
              <w:top w:val="nil"/>
              <w:left w:val="nil"/>
              <w:bottom w:val="single" w:sz="4" w:space="0" w:color="BFBFBF" w:themeColor="background1" w:themeShade="BF"/>
              <w:right w:val="nil"/>
            </w:tcBorders>
            <w:noWrap/>
            <w:vAlign w:val="center"/>
          </w:tcPr>
          <w:p w14:paraId="2FD45DA9" w14:textId="77777777" w:rsidR="00603217" w:rsidRPr="002150BE" w:rsidRDefault="00603217" w:rsidP="00603217">
            <w:pPr>
              <w:spacing w:after="0" w:line="240" w:lineRule="auto"/>
              <w:rPr>
                <w:rFonts w:asciiTheme="minorHAnsi" w:hAnsiTheme="minorHAnsi" w:cstheme="minorHAnsi"/>
                <w:color w:val="262626"/>
                <w:sz w:val="18"/>
                <w:lang w:eastAsia="es-MX"/>
              </w:rPr>
            </w:pPr>
          </w:p>
        </w:tc>
        <w:tc>
          <w:tcPr>
            <w:tcW w:w="1030" w:type="dxa"/>
            <w:tcBorders>
              <w:top w:val="nil"/>
              <w:left w:val="nil"/>
              <w:bottom w:val="single" w:sz="4" w:space="0" w:color="BFBFBF" w:themeColor="background1" w:themeShade="BF"/>
              <w:right w:val="nil"/>
            </w:tcBorders>
            <w:noWrap/>
            <w:vAlign w:val="center"/>
          </w:tcPr>
          <w:p w14:paraId="0119E873" w14:textId="77777777" w:rsidR="00603217" w:rsidRPr="002150BE" w:rsidRDefault="00603217" w:rsidP="00603217">
            <w:pPr>
              <w:spacing w:after="0" w:line="240" w:lineRule="auto"/>
              <w:rPr>
                <w:rFonts w:asciiTheme="minorHAnsi" w:hAnsiTheme="minorHAnsi" w:cstheme="minorHAnsi"/>
                <w:sz w:val="18"/>
                <w:lang w:eastAsia="es-MX"/>
              </w:rPr>
            </w:pPr>
          </w:p>
        </w:tc>
        <w:tc>
          <w:tcPr>
            <w:tcW w:w="1023" w:type="dxa"/>
            <w:gridSpan w:val="2"/>
            <w:tcBorders>
              <w:top w:val="nil"/>
              <w:left w:val="nil"/>
              <w:bottom w:val="single" w:sz="4" w:space="0" w:color="BFBFBF" w:themeColor="background1" w:themeShade="BF"/>
              <w:right w:val="nil"/>
            </w:tcBorders>
            <w:noWrap/>
            <w:vAlign w:val="center"/>
          </w:tcPr>
          <w:p w14:paraId="59F74543" w14:textId="77777777" w:rsidR="00603217" w:rsidRPr="002150BE" w:rsidRDefault="00603217" w:rsidP="00603217">
            <w:pPr>
              <w:spacing w:after="0" w:line="240" w:lineRule="auto"/>
              <w:rPr>
                <w:rFonts w:asciiTheme="minorHAnsi" w:hAnsiTheme="minorHAnsi" w:cstheme="minorHAnsi"/>
                <w:sz w:val="18"/>
                <w:lang w:eastAsia="es-MX"/>
              </w:rPr>
            </w:pPr>
          </w:p>
        </w:tc>
        <w:tc>
          <w:tcPr>
            <w:tcW w:w="1023" w:type="dxa"/>
            <w:tcBorders>
              <w:top w:val="nil"/>
              <w:left w:val="nil"/>
              <w:bottom w:val="single" w:sz="4" w:space="0" w:color="BFBFBF" w:themeColor="background1" w:themeShade="BF"/>
              <w:right w:val="nil"/>
            </w:tcBorders>
            <w:noWrap/>
            <w:vAlign w:val="center"/>
            <w:hideMark/>
          </w:tcPr>
          <w:p w14:paraId="7E291219" w14:textId="77777777" w:rsidR="00603217" w:rsidRPr="002150BE" w:rsidRDefault="00603217" w:rsidP="00603217">
            <w:pPr>
              <w:spacing w:after="0" w:line="240" w:lineRule="auto"/>
              <w:rPr>
                <w:rFonts w:asciiTheme="minorHAnsi" w:hAnsiTheme="minorHAnsi" w:cstheme="minorHAnsi"/>
                <w:sz w:val="18"/>
                <w:lang w:eastAsia="es-MX"/>
              </w:rPr>
            </w:pPr>
          </w:p>
        </w:tc>
        <w:tc>
          <w:tcPr>
            <w:tcW w:w="160" w:type="dxa"/>
            <w:tcBorders>
              <w:top w:val="nil"/>
              <w:left w:val="nil"/>
              <w:bottom w:val="single" w:sz="4" w:space="0" w:color="BFBFBF" w:themeColor="background1" w:themeShade="BF"/>
              <w:right w:val="nil"/>
            </w:tcBorders>
            <w:noWrap/>
            <w:vAlign w:val="center"/>
            <w:hideMark/>
          </w:tcPr>
          <w:p w14:paraId="08A850EE" w14:textId="77777777" w:rsidR="00603217" w:rsidRPr="002150BE" w:rsidRDefault="00603217" w:rsidP="00603217">
            <w:pPr>
              <w:spacing w:after="0" w:line="240" w:lineRule="auto"/>
              <w:rPr>
                <w:rFonts w:asciiTheme="minorHAnsi" w:hAnsiTheme="minorHAnsi" w:cstheme="minorHAnsi"/>
                <w:sz w:val="18"/>
                <w:lang w:eastAsia="es-MX"/>
              </w:rPr>
            </w:pPr>
          </w:p>
        </w:tc>
        <w:tc>
          <w:tcPr>
            <w:tcW w:w="1026" w:type="dxa"/>
            <w:tcBorders>
              <w:top w:val="nil"/>
              <w:left w:val="nil"/>
              <w:bottom w:val="single" w:sz="4" w:space="0" w:color="BFBFBF" w:themeColor="background1" w:themeShade="BF"/>
              <w:right w:val="nil"/>
            </w:tcBorders>
            <w:noWrap/>
            <w:vAlign w:val="center"/>
            <w:hideMark/>
          </w:tcPr>
          <w:p w14:paraId="3C357A13" w14:textId="77777777" w:rsidR="000B2089" w:rsidRPr="002150BE" w:rsidRDefault="000B2089" w:rsidP="00603217">
            <w:pPr>
              <w:spacing w:after="0" w:line="240" w:lineRule="auto"/>
              <w:rPr>
                <w:rFonts w:asciiTheme="minorHAnsi" w:hAnsiTheme="minorHAnsi" w:cstheme="minorHAnsi"/>
                <w:sz w:val="18"/>
                <w:lang w:eastAsia="es-MX"/>
              </w:rPr>
            </w:pPr>
          </w:p>
        </w:tc>
        <w:tc>
          <w:tcPr>
            <w:tcW w:w="162" w:type="dxa"/>
            <w:tcBorders>
              <w:top w:val="nil"/>
              <w:left w:val="nil"/>
              <w:bottom w:val="single" w:sz="4" w:space="0" w:color="BFBFBF" w:themeColor="background1" w:themeShade="BF"/>
              <w:right w:val="nil"/>
            </w:tcBorders>
            <w:noWrap/>
            <w:vAlign w:val="center"/>
            <w:hideMark/>
          </w:tcPr>
          <w:p w14:paraId="6A990CE8" w14:textId="77777777" w:rsidR="00603217" w:rsidRPr="002150BE" w:rsidRDefault="00603217" w:rsidP="00603217">
            <w:pPr>
              <w:spacing w:after="0" w:line="240" w:lineRule="auto"/>
              <w:rPr>
                <w:rFonts w:asciiTheme="minorHAnsi" w:hAnsiTheme="minorHAnsi" w:cstheme="minorHAnsi"/>
                <w:sz w:val="18"/>
                <w:lang w:eastAsia="es-MX"/>
              </w:rPr>
            </w:pPr>
          </w:p>
        </w:tc>
        <w:tc>
          <w:tcPr>
            <w:tcW w:w="161" w:type="dxa"/>
            <w:tcBorders>
              <w:top w:val="nil"/>
              <w:left w:val="nil"/>
              <w:bottom w:val="single" w:sz="4" w:space="0" w:color="BFBFBF" w:themeColor="background1" w:themeShade="BF"/>
              <w:right w:val="nil"/>
            </w:tcBorders>
            <w:noWrap/>
            <w:vAlign w:val="center"/>
            <w:hideMark/>
          </w:tcPr>
          <w:p w14:paraId="0C91109A" w14:textId="77777777" w:rsidR="00603217" w:rsidRPr="002150BE" w:rsidRDefault="00603217" w:rsidP="00603217">
            <w:pPr>
              <w:spacing w:after="0" w:line="240" w:lineRule="auto"/>
              <w:rPr>
                <w:rFonts w:asciiTheme="minorHAnsi" w:hAnsiTheme="minorHAnsi" w:cstheme="minorHAnsi"/>
                <w:sz w:val="18"/>
                <w:lang w:eastAsia="es-MX"/>
              </w:rPr>
            </w:pPr>
          </w:p>
        </w:tc>
        <w:tc>
          <w:tcPr>
            <w:tcW w:w="160" w:type="dxa"/>
            <w:tcBorders>
              <w:top w:val="nil"/>
              <w:left w:val="nil"/>
              <w:bottom w:val="single" w:sz="4" w:space="0" w:color="BFBFBF" w:themeColor="background1" w:themeShade="BF"/>
              <w:right w:val="nil"/>
            </w:tcBorders>
            <w:noWrap/>
            <w:vAlign w:val="center"/>
            <w:hideMark/>
          </w:tcPr>
          <w:p w14:paraId="3436A223" w14:textId="77777777" w:rsidR="00603217" w:rsidRPr="002150BE" w:rsidRDefault="00603217" w:rsidP="00603217">
            <w:pPr>
              <w:spacing w:after="0" w:line="240" w:lineRule="auto"/>
              <w:rPr>
                <w:rFonts w:asciiTheme="minorHAnsi" w:hAnsiTheme="minorHAnsi" w:cstheme="minorHAnsi"/>
                <w:sz w:val="18"/>
                <w:lang w:eastAsia="es-MX"/>
              </w:rPr>
            </w:pPr>
          </w:p>
        </w:tc>
        <w:tc>
          <w:tcPr>
            <w:tcW w:w="172" w:type="dxa"/>
            <w:tcBorders>
              <w:top w:val="nil"/>
              <w:left w:val="nil"/>
              <w:bottom w:val="single" w:sz="4" w:space="0" w:color="BFBFBF" w:themeColor="background1" w:themeShade="BF"/>
              <w:right w:val="single" w:sz="4" w:space="0" w:color="BFBFBF" w:themeColor="background1" w:themeShade="BF"/>
            </w:tcBorders>
            <w:noWrap/>
            <w:vAlign w:val="center"/>
            <w:hideMark/>
          </w:tcPr>
          <w:p w14:paraId="2EF6E96A" w14:textId="77777777" w:rsidR="00603217" w:rsidRPr="002150BE" w:rsidRDefault="00603217" w:rsidP="00603217">
            <w:pPr>
              <w:spacing w:after="0" w:line="240" w:lineRule="auto"/>
              <w:rPr>
                <w:rFonts w:asciiTheme="minorHAnsi" w:hAnsiTheme="minorHAnsi" w:cstheme="minorHAnsi"/>
                <w:color w:val="000000"/>
                <w:sz w:val="18"/>
                <w:lang w:eastAsia="es-MX"/>
              </w:rPr>
            </w:pPr>
            <w:r w:rsidRPr="002150BE">
              <w:rPr>
                <w:rFonts w:asciiTheme="minorHAnsi" w:hAnsiTheme="minorHAnsi" w:cstheme="minorHAnsi"/>
                <w:color w:val="000000"/>
                <w:sz w:val="18"/>
                <w:lang w:eastAsia="es-MX"/>
              </w:rPr>
              <w:t> </w:t>
            </w:r>
          </w:p>
        </w:tc>
      </w:tr>
      <w:tr w:rsidR="00603217" w:rsidRPr="002150BE" w14:paraId="2F2AAFA3" w14:textId="77777777" w:rsidTr="00901755">
        <w:trPr>
          <w:trHeight w:val="328"/>
        </w:trPr>
        <w:tc>
          <w:tcPr>
            <w:tcW w:w="8828"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F7F7F" w:themeFill="text1" w:themeFillTint="80"/>
            <w:noWrap/>
            <w:vAlign w:val="center"/>
            <w:hideMark/>
          </w:tcPr>
          <w:p w14:paraId="372F5DB5" w14:textId="77777777" w:rsidR="00603217" w:rsidRPr="002150BE" w:rsidRDefault="00603217" w:rsidP="00603217">
            <w:pPr>
              <w:spacing w:after="0" w:line="240" w:lineRule="auto"/>
              <w:jc w:val="center"/>
              <w:rPr>
                <w:rFonts w:asciiTheme="minorHAnsi" w:hAnsiTheme="minorHAnsi" w:cstheme="minorHAnsi"/>
                <w:b/>
                <w:color w:val="FFFFFF" w:themeColor="background1"/>
                <w:sz w:val="18"/>
                <w:lang w:eastAsia="es-MX"/>
              </w:rPr>
            </w:pPr>
            <w:r w:rsidRPr="002150BE">
              <w:rPr>
                <w:rFonts w:asciiTheme="minorHAnsi" w:hAnsiTheme="minorHAnsi" w:cstheme="minorHAnsi"/>
                <w:b/>
                <w:color w:val="FFFFFF" w:themeColor="background1"/>
                <w:sz w:val="18"/>
                <w:lang w:eastAsia="es-MX"/>
              </w:rPr>
              <w:t>Áreas de mejora</w:t>
            </w:r>
          </w:p>
        </w:tc>
      </w:tr>
      <w:tr w:rsidR="00603217" w:rsidRPr="002150BE" w14:paraId="3C8DFA1C" w14:textId="77777777" w:rsidTr="00901755">
        <w:trPr>
          <w:trHeight w:val="538"/>
        </w:trPr>
        <w:tc>
          <w:tcPr>
            <w:tcW w:w="112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6AE68544" w14:textId="77777777" w:rsidR="00603217" w:rsidRPr="002150BE" w:rsidRDefault="00603217" w:rsidP="00603217">
            <w:pPr>
              <w:spacing w:after="0" w:line="240" w:lineRule="auto"/>
              <w:jc w:val="center"/>
              <w:rPr>
                <w:rFonts w:asciiTheme="minorHAnsi" w:hAnsiTheme="minorHAnsi" w:cstheme="minorHAnsi"/>
                <w:b/>
                <w:sz w:val="16"/>
                <w:szCs w:val="16"/>
                <w:lang w:eastAsia="es-MX"/>
              </w:rPr>
            </w:pPr>
            <w:r w:rsidRPr="002150BE">
              <w:rPr>
                <w:rFonts w:asciiTheme="minorHAnsi" w:hAnsiTheme="minorHAnsi" w:cstheme="minorHAnsi"/>
                <w:b/>
                <w:sz w:val="16"/>
                <w:szCs w:val="16"/>
                <w:lang w:eastAsia="es-MX"/>
              </w:rPr>
              <w:t>Proceso</w:t>
            </w:r>
          </w:p>
        </w:tc>
        <w:tc>
          <w:tcPr>
            <w:tcW w:w="17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28937C70" w14:textId="77777777" w:rsidR="00603217" w:rsidRPr="002150BE" w:rsidRDefault="00603217" w:rsidP="00603217">
            <w:pPr>
              <w:spacing w:after="0" w:line="240" w:lineRule="auto"/>
              <w:jc w:val="center"/>
              <w:rPr>
                <w:rFonts w:asciiTheme="minorHAnsi" w:hAnsiTheme="minorHAnsi" w:cstheme="minorHAnsi"/>
                <w:b/>
                <w:sz w:val="16"/>
                <w:szCs w:val="16"/>
                <w:lang w:eastAsia="es-MX"/>
              </w:rPr>
            </w:pPr>
            <w:r w:rsidRPr="002150BE">
              <w:rPr>
                <w:rFonts w:asciiTheme="minorHAnsi" w:hAnsiTheme="minorHAnsi" w:cstheme="minorHAnsi"/>
                <w:b/>
                <w:sz w:val="16"/>
                <w:szCs w:val="16"/>
                <w:lang w:eastAsia="es-MX"/>
              </w:rPr>
              <w:t>Mejora identificada</w:t>
            </w:r>
          </w:p>
        </w:tc>
        <w:tc>
          <w:tcPr>
            <w:tcW w:w="264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3D199C8B" w14:textId="77777777" w:rsidR="00603217" w:rsidRPr="002150BE" w:rsidRDefault="00603217" w:rsidP="00603217">
            <w:pPr>
              <w:spacing w:after="0" w:line="240" w:lineRule="auto"/>
              <w:jc w:val="center"/>
              <w:rPr>
                <w:rFonts w:asciiTheme="minorHAnsi" w:hAnsiTheme="minorHAnsi" w:cstheme="minorHAnsi"/>
                <w:b/>
                <w:sz w:val="16"/>
                <w:szCs w:val="16"/>
                <w:lang w:eastAsia="es-MX"/>
              </w:rPr>
            </w:pPr>
            <w:r w:rsidRPr="002150BE">
              <w:rPr>
                <w:rFonts w:asciiTheme="minorHAnsi" w:hAnsiTheme="minorHAnsi" w:cstheme="minorHAnsi"/>
                <w:b/>
                <w:sz w:val="16"/>
                <w:szCs w:val="16"/>
                <w:lang w:eastAsia="es-MX"/>
              </w:rPr>
              <w:t>Argumentación</w:t>
            </w:r>
          </w:p>
        </w:tc>
        <w:tc>
          <w:tcPr>
            <w:tcW w:w="3304"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1A9761C1" w14:textId="77777777" w:rsidR="00603217" w:rsidRPr="002150BE" w:rsidRDefault="00603217" w:rsidP="00603217">
            <w:pPr>
              <w:spacing w:after="0" w:line="240" w:lineRule="auto"/>
              <w:jc w:val="center"/>
              <w:rPr>
                <w:rFonts w:asciiTheme="minorHAnsi" w:hAnsiTheme="minorHAnsi" w:cstheme="minorHAnsi"/>
                <w:b/>
                <w:sz w:val="16"/>
                <w:szCs w:val="16"/>
                <w:lang w:eastAsia="es-MX"/>
              </w:rPr>
            </w:pPr>
            <w:r w:rsidRPr="002150BE">
              <w:rPr>
                <w:rFonts w:asciiTheme="minorHAnsi" w:hAnsiTheme="minorHAnsi" w:cstheme="minorHAnsi"/>
                <w:b/>
                <w:sz w:val="16"/>
                <w:szCs w:val="16"/>
                <w:lang w:eastAsia="es-MX"/>
              </w:rPr>
              <w:t>Propuesta</w:t>
            </w:r>
          </w:p>
        </w:tc>
      </w:tr>
      <w:tr w:rsidR="00901755" w:rsidRPr="002150BE" w14:paraId="4DB509EF" w14:textId="77777777" w:rsidTr="00901755">
        <w:trPr>
          <w:trHeight w:val="254"/>
        </w:trPr>
        <w:tc>
          <w:tcPr>
            <w:tcW w:w="112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2DC0EB93" w14:textId="6F5735F3" w:rsidR="00901755" w:rsidRPr="002150BE" w:rsidRDefault="00901755" w:rsidP="00901755">
            <w:pPr>
              <w:spacing w:after="0" w:line="240" w:lineRule="auto"/>
              <w:jc w:val="center"/>
              <w:rPr>
                <w:rFonts w:asciiTheme="minorHAnsi" w:hAnsiTheme="minorHAnsi" w:cstheme="minorHAnsi"/>
                <w:sz w:val="16"/>
                <w:szCs w:val="16"/>
                <w:lang w:eastAsia="es-MX"/>
              </w:rPr>
            </w:pPr>
            <w:r w:rsidRPr="002150BE">
              <w:rPr>
                <w:rFonts w:asciiTheme="minorHAnsi" w:hAnsiTheme="minorHAnsi" w:cstheme="minorHAnsi"/>
              </w:rPr>
              <w:t>Proceso 1. Asignación de tutores</w:t>
            </w:r>
          </w:p>
        </w:tc>
        <w:tc>
          <w:tcPr>
            <w:tcW w:w="17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5D1A335A" w14:textId="2B067865" w:rsidR="00901755" w:rsidRPr="002150BE" w:rsidRDefault="00901755" w:rsidP="00901755">
            <w:pPr>
              <w:spacing w:after="0" w:line="240" w:lineRule="auto"/>
              <w:jc w:val="center"/>
              <w:rPr>
                <w:rFonts w:asciiTheme="minorHAnsi" w:hAnsiTheme="minorHAnsi" w:cstheme="minorHAnsi"/>
                <w:sz w:val="16"/>
                <w:szCs w:val="16"/>
                <w:lang w:eastAsia="es-MX"/>
              </w:rPr>
            </w:pPr>
            <w:r w:rsidRPr="002150BE">
              <w:rPr>
                <w:rFonts w:asciiTheme="minorHAnsi" w:hAnsiTheme="minorHAnsi" w:cstheme="minorHAnsi"/>
              </w:rPr>
              <w:t>Incorporar criterios explícitos de priorización de grupos y perfiles de tutoría, adaptados a las características de la población objetivo.</w:t>
            </w:r>
          </w:p>
        </w:tc>
        <w:tc>
          <w:tcPr>
            <w:tcW w:w="264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5130F270" w14:textId="2F2F9BCF" w:rsidR="00901755" w:rsidRPr="002150BE" w:rsidRDefault="00901755" w:rsidP="00901755">
            <w:pPr>
              <w:spacing w:after="0" w:line="240" w:lineRule="auto"/>
              <w:jc w:val="center"/>
              <w:rPr>
                <w:rFonts w:asciiTheme="minorHAnsi" w:hAnsiTheme="minorHAnsi" w:cstheme="minorHAnsi"/>
                <w:sz w:val="16"/>
                <w:szCs w:val="16"/>
                <w:lang w:eastAsia="es-MX"/>
              </w:rPr>
            </w:pPr>
            <w:r w:rsidRPr="002150BE">
              <w:rPr>
                <w:rFonts w:asciiTheme="minorHAnsi" w:hAnsiTheme="minorHAnsi" w:cstheme="minorHAnsi"/>
              </w:rPr>
              <w:t xml:space="preserve">Actualmente la asignación se realiza principalmente en función de la disponibilidad de tutores y del número de grupos; sin embargo, no siempre se documenta la priorización de grupos de nuevo ingreso, con alta reprobación previa o con mayor proporción de estudiantes en condición vulnerable, lo que puede </w:t>
            </w:r>
            <w:r w:rsidRPr="002150BE">
              <w:rPr>
                <w:rFonts w:asciiTheme="minorHAnsi" w:hAnsiTheme="minorHAnsi" w:cstheme="minorHAnsi"/>
              </w:rPr>
              <w:lastRenderedPageBreak/>
              <w:t>limitar el impacto del programa.</w:t>
            </w:r>
          </w:p>
        </w:tc>
        <w:tc>
          <w:tcPr>
            <w:tcW w:w="3304"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DD19E5C" w14:textId="510268AC" w:rsidR="00901755" w:rsidRPr="002150BE" w:rsidRDefault="00901755" w:rsidP="00901755">
            <w:pPr>
              <w:spacing w:after="0" w:line="240" w:lineRule="auto"/>
              <w:jc w:val="center"/>
              <w:rPr>
                <w:rFonts w:asciiTheme="minorHAnsi" w:hAnsiTheme="minorHAnsi" w:cstheme="minorHAnsi"/>
                <w:sz w:val="16"/>
                <w:szCs w:val="16"/>
                <w:lang w:eastAsia="es-MX"/>
              </w:rPr>
            </w:pPr>
            <w:r w:rsidRPr="002150BE">
              <w:rPr>
                <w:rFonts w:asciiTheme="minorHAnsi" w:hAnsiTheme="minorHAnsi" w:cstheme="minorHAnsi"/>
              </w:rPr>
              <w:lastRenderedPageBreak/>
              <w:t>Establecer lineamientos formales para la asignación de tutores donde se consideren variables como generación, historial de reprobación, deserción previa y número de estudiantes con apoyos económicos, de manera que los grupos con mayor riesgo cuenten con tutores con experiencia y cargas equilibradas.</w:t>
            </w:r>
          </w:p>
        </w:tc>
      </w:tr>
      <w:tr w:rsidR="00901755" w:rsidRPr="002150BE" w14:paraId="384D0B1F" w14:textId="77777777" w:rsidTr="00901755">
        <w:trPr>
          <w:trHeight w:val="254"/>
        </w:trPr>
        <w:tc>
          <w:tcPr>
            <w:tcW w:w="112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5E513EB7" w14:textId="64765CEF" w:rsidR="00901755" w:rsidRPr="002150BE" w:rsidRDefault="00901755" w:rsidP="00901755">
            <w:pPr>
              <w:spacing w:after="0" w:line="240" w:lineRule="auto"/>
              <w:jc w:val="center"/>
              <w:rPr>
                <w:rFonts w:asciiTheme="minorHAnsi" w:hAnsiTheme="minorHAnsi" w:cstheme="minorHAnsi"/>
                <w:sz w:val="16"/>
                <w:szCs w:val="16"/>
                <w:lang w:eastAsia="es-MX"/>
              </w:rPr>
            </w:pPr>
            <w:r w:rsidRPr="002150BE">
              <w:rPr>
                <w:rFonts w:asciiTheme="minorHAnsi" w:hAnsiTheme="minorHAnsi" w:cstheme="minorHAnsi"/>
              </w:rPr>
              <w:t>Proceso 5. Impartir tutoría individual y grupal</w:t>
            </w:r>
          </w:p>
        </w:tc>
        <w:tc>
          <w:tcPr>
            <w:tcW w:w="17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6DDFD2FC" w14:textId="2BD81D7C" w:rsidR="00901755" w:rsidRPr="002150BE" w:rsidRDefault="00901755" w:rsidP="00901755">
            <w:pPr>
              <w:spacing w:after="0" w:line="240" w:lineRule="auto"/>
              <w:jc w:val="center"/>
              <w:rPr>
                <w:rFonts w:asciiTheme="minorHAnsi" w:hAnsiTheme="minorHAnsi" w:cstheme="minorHAnsi"/>
                <w:sz w:val="16"/>
                <w:szCs w:val="16"/>
                <w:lang w:eastAsia="es-MX"/>
              </w:rPr>
            </w:pPr>
            <w:r w:rsidRPr="002150BE">
              <w:rPr>
                <w:rFonts w:asciiTheme="minorHAnsi" w:hAnsiTheme="minorHAnsi" w:cstheme="minorHAnsi"/>
              </w:rPr>
              <w:t>Fortalecer el registro sistemático de las sesiones de tutoría y de la atención individual, incluyendo modalidad y acuerdos.</w:t>
            </w:r>
          </w:p>
        </w:tc>
        <w:tc>
          <w:tcPr>
            <w:tcW w:w="264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3EAE0BF4" w14:textId="1CEFDDAA" w:rsidR="00901755" w:rsidRPr="002150BE" w:rsidRDefault="00901755" w:rsidP="00901755">
            <w:pPr>
              <w:spacing w:after="0" w:line="240" w:lineRule="auto"/>
              <w:jc w:val="center"/>
              <w:rPr>
                <w:rFonts w:asciiTheme="minorHAnsi" w:hAnsiTheme="minorHAnsi" w:cstheme="minorHAnsi"/>
                <w:sz w:val="16"/>
                <w:szCs w:val="16"/>
                <w:lang w:eastAsia="es-MX"/>
              </w:rPr>
            </w:pPr>
            <w:r w:rsidRPr="002150BE">
              <w:rPr>
                <w:rFonts w:asciiTheme="minorHAnsi" w:hAnsiTheme="minorHAnsi" w:cstheme="minorHAnsi"/>
              </w:rPr>
              <w:t>Aunque el flujo contempla sesiones grupales e individuales, en ocasiones el registro se centra en el número de sesiones y no en la descripción mínima de temas tratados, acuerdos y acciones de seguimiento, lo cual dificulta la trazabilidad del servicio y la evaluación de su eficacia.</w:t>
            </w:r>
          </w:p>
        </w:tc>
        <w:tc>
          <w:tcPr>
            <w:tcW w:w="3304"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0D539A" w14:textId="39177E67" w:rsidR="00901755" w:rsidRPr="002150BE" w:rsidRDefault="00901755" w:rsidP="00901755">
            <w:pPr>
              <w:spacing w:after="0" w:line="240" w:lineRule="auto"/>
              <w:jc w:val="center"/>
              <w:rPr>
                <w:rFonts w:asciiTheme="minorHAnsi" w:hAnsiTheme="minorHAnsi" w:cstheme="minorHAnsi"/>
                <w:sz w:val="16"/>
                <w:szCs w:val="16"/>
                <w:lang w:eastAsia="es-MX"/>
              </w:rPr>
            </w:pPr>
            <w:r w:rsidRPr="002150BE">
              <w:rPr>
                <w:rFonts w:asciiTheme="minorHAnsi" w:hAnsiTheme="minorHAnsi" w:cstheme="minorHAnsi"/>
              </w:rPr>
              <w:t>Actualizar el formato de reporte de tutoría para que incluya campos específicos sobre objetivos de cada sesión, acuerdos con el grupo o con el estudiante, canalizaciones y seguimiento, permitiendo un análisis más fino del impacto de la tutoría en la permanencia estudiantil.</w:t>
            </w:r>
          </w:p>
        </w:tc>
      </w:tr>
      <w:tr w:rsidR="00901755" w:rsidRPr="002150BE" w14:paraId="5A22BADC" w14:textId="77777777" w:rsidTr="00901755">
        <w:trPr>
          <w:trHeight w:val="254"/>
        </w:trPr>
        <w:tc>
          <w:tcPr>
            <w:tcW w:w="112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126722E0" w14:textId="5558FF5F" w:rsidR="00901755" w:rsidRPr="002150BE" w:rsidRDefault="00901755" w:rsidP="00901755">
            <w:pPr>
              <w:spacing w:after="0" w:line="240" w:lineRule="auto"/>
              <w:jc w:val="center"/>
              <w:rPr>
                <w:rFonts w:asciiTheme="minorHAnsi" w:hAnsiTheme="minorHAnsi" w:cstheme="minorHAnsi"/>
                <w:sz w:val="16"/>
                <w:szCs w:val="16"/>
                <w:lang w:eastAsia="es-MX"/>
              </w:rPr>
            </w:pPr>
            <w:r w:rsidRPr="002150BE">
              <w:rPr>
                <w:rFonts w:asciiTheme="minorHAnsi" w:hAnsiTheme="minorHAnsi" w:cstheme="minorHAnsi"/>
              </w:rPr>
              <w:t>Proceso 6–7. Entrega y revisión de reportes mensuales</w:t>
            </w:r>
          </w:p>
        </w:tc>
        <w:tc>
          <w:tcPr>
            <w:tcW w:w="17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19B1B316" w14:textId="5249C411" w:rsidR="00901755" w:rsidRPr="002150BE" w:rsidRDefault="00901755" w:rsidP="00901755">
            <w:pPr>
              <w:spacing w:after="0" w:line="240" w:lineRule="auto"/>
              <w:jc w:val="center"/>
              <w:rPr>
                <w:rFonts w:asciiTheme="minorHAnsi" w:hAnsiTheme="minorHAnsi" w:cstheme="minorHAnsi"/>
                <w:sz w:val="16"/>
                <w:szCs w:val="16"/>
                <w:lang w:eastAsia="es-MX"/>
              </w:rPr>
            </w:pPr>
            <w:r w:rsidRPr="002150BE">
              <w:rPr>
                <w:rFonts w:asciiTheme="minorHAnsi" w:hAnsiTheme="minorHAnsi" w:cstheme="minorHAnsi"/>
              </w:rPr>
              <w:t>Transitar gradualmente a un sistema digital de captura y análisis de reportes de tutoría e incluir tiempos estándar de revisión.</w:t>
            </w:r>
          </w:p>
        </w:tc>
        <w:tc>
          <w:tcPr>
            <w:tcW w:w="264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51300B73" w14:textId="72F390DF" w:rsidR="00901755" w:rsidRPr="002150BE" w:rsidRDefault="00901755" w:rsidP="00901755">
            <w:pPr>
              <w:spacing w:after="0" w:line="240" w:lineRule="auto"/>
              <w:jc w:val="center"/>
              <w:rPr>
                <w:rFonts w:asciiTheme="minorHAnsi" w:hAnsiTheme="minorHAnsi" w:cstheme="minorHAnsi"/>
                <w:sz w:val="16"/>
                <w:szCs w:val="16"/>
                <w:lang w:eastAsia="es-MX"/>
              </w:rPr>
            </w:pPr>
            <w:r w:rsidRPr="002150BE">
              <w:rPr>
                <w:rFonts w:asciiTheme="minorHAnsi" w:hAnsiTheme="minorHAnsi" w:cstheme="minorHAnsi"/>
              </w:rPr>
              <w:t>La entrega de reportes en formatos físicos o dispersos puede retrasar la revisión, generar errores de transcripción y limitar el análisis oportuno de información, lo que reduce la capacidad de reaccionar frente a casos de riesgo durante el mismo cuatrimestre.</w:t>
            </w:r>
          </w:p>
        </w:tc>
        <w:tc>
          <w:tcPr>
            <w:tcW w:w="3304"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3422AB" w14:textId="0509ACE8" w:rsidR="00901755" w:rsidRPr="002150BE" w:rsidRDefault="00901755" w:rsidP="00901755">
            <w:pPr>
              <w:spacing w:after="0" w:line="240" w:lineRule="auto"/>
              <w:jc w:val="center"/>
              <w:rPr>
                <w:rFonts w:asciiTheme="minorHAnsi" w:hAnsiTheme="minorHAnsi" w:cstheme="minorHAnsi"/>
                <w:sz w:val="16"/>
                <w:szCs w:val="16"/>
                <w:lang w:eastAsia="es-MX"/>
              </w:rPr>
            </w:pPr>
            <w:r w:rsidRPr="002150BE">
              <w:rPr>
                <w:rFonts w:asciiTheme="minorHAnsi" w:hAnsiTheme="minorHAnsi" w:cstheme="minorHAnsi"/>
              </w:rPr>
              <w:t>Implementar un módulo electrónico para la captura de reportes mensuales y finales de tutoría, con campos estandarizados y fechas límite de entrega y revisión; establecer alertas automáticas para casos canalizados o indicadores de riesgo y generar reportes consolidados para las coordinaciones de carrera y la Dirección Académica.</w:t>
            </w:r>
          </w:p>
        </w:tc>
      </w:tr>
    </w:tbl>
    <w:p w14:paraId="78168983" w14:textId="77777777" w:rsidR="00603217" w:rsidRPr="002150BE" w:rsidRDefault="00603217" w:rsidP="00AD62D4">
      <w:pPr>
        <w:rPr>
          <w:rFonts w:asciiTheme="minorHAnsi" w:hAnsiTheme="minorHAnsi" w:cstheme="minorHAnsi"/>
          <w:lang w:val="es-ES"/>
        </w:rPr>
      </w:pPr>
    </w:p>
    <w:p w14:paraId="760F05A6" w14:textId="77777777" w:rsidR="000B2089" w:rsidRPr="002150BE" w:rsidRDefault="000B2089" w:rsidP="00AD62D4">
      <w:pPr>
        <w:rPr>
          <w:rFonts w:asciiTheme="minorHAnsi" w:hAnsiTheme="minorHAnsi" w:cstheme="minorHAnsi"/>
          <w:lang w:val="es-ES"/>
        </w:rPr>
      </w:pPr>
    </w:p>
    <w:p w14:paraId="574D7E06" w14:textId="77777777" w:rsidR="00901755" w:rsidRPr="002150BE" w:rsidRDefault="00901755" w:rsidP="00AD62D4">
      <w:pPr>
        <w:rPr>
          <w:rFonts w:asciiTheme="minorHAnsi" w:hAnsiTheme="minorHAnsi" w:cstheme="minorHAnsi"/>
          <w:lang w:val="es-ES"/>
        </w:rPr>
      </w:pPr>
    </w:p>
    <w:p w14:paraId="3E6CF3D9" w14:textId="77777777" w:rsidR="00901755" w:rsidRPr="002150BE" w:rsidRDefault="00901755" w:rsidP="00AD62D4">
      <w:pPr>
        <w:rPr>
          <w:rFonts w:asciiTheme="minorHAnsi" w:hAnsiTheme="minorHAnsi" w:cstheme="minorHAnsi"/>
          <w:lang w:val="es-ES"/>
        </w:rPr>
      </w:pPr>
    </w:p>
    <w:p w14:paraId="785EF3F2" w14:textId="77777777" w:rsidR="00901755" w:rsidRPr="002150BE" w:rsidRDefault="00901755" w:rsidP="00AD62D4">
      <w:pPr>
        <w:rPr>
          <w:rFonts w:asciiTheme="minorHAnsi" w:hAnsiTheme="minorHAnsi" w:cstheme="minorHAnsi"/>
          <w:lang w:val="es-ES"/>
        </w:rPr>
      </w:pPr>
    </w:p>
    <w:p w14:paraId="316AF908" w14:textId="77777777" w:rsidR="00901755" w:rsidRPr="002150BE" w:rsidRDefault="00901755" w:rsidP="00AD62D4">
      <w:pPr>
        <w:rPr>
          <w:rFonts w:asciiTheme="minorHAnsi" w:hAnsiTheme="minorHAnsi" w:cstheme="minorHAnsi"/>
          <w:lang w:val="es-ES"/>
        </w:rPr>
      </w:pPr>
    </w:p>
    <w:p w14:paraId="10436C11" w14:textId="77777777" w:rsidR="00901755" w:rsidRPr="002150BE" w:rsidRDefault="00901755" w:rsidP="00AD62D4">
      <w:pPr>
        <w:rPr>
          <w:rFonts w:asciiTheme="minorHAnsi" w:hAnsiTheme="minorHAnsi" w:cstheme="minorHAnsi"/>
          <w:lang w:val="es-ES"/>
        </w:rPr>
      </w:pPr>
    </w:p>
    <w:p w14:paraId="52370D08" w14:textId="77777777" w:rsidR="00901755" w:rsidRPr="002150BE" w:rsidRDefault="00901755" w:rsidP="00AD62D4">
      <w:pPr>
        <w:rPr>
          <w:rFonts w:asciiTheme="minorHAnsi" w:hAnsiTheme="minorHAnsi" w:cstheme="minorHAnsi"/>
          <w:lang w:val="es-ES"/>
        </w:rPr>
      </w:pPr>
    </w:p>
    <w:p w14:paraId="683A54F0" w14:textId="77777777" w:rsidR="00901755" w:rsidRPr="002150BE" w:rsidRDefault="00901755" w:rsidP="00AD62D4">
      <w:pPr>
        <w:rPr>
          <w:rFonts w:asciiTheme="minorHAnsi" w:hAnsiTheme="minorHAnsi" w:cstheme="minorHAnsi"/>
          <w:lang w:val="es-ES"/>
        </w:rPr>
      </w:pPr>
    </w:p>
    <w:p w14:paraId="507C92BA" w14:textId="77777777" w:rsidR="00901755" w:rsidRPr="002150BE" w:rsidRDefault="00901755" w:rsidP="00AD62D4">
      <w:pPr>
        <w:rPr>
          <w:rFonts w:asciiTheme="minorHAnsi" w:hAnsiTheme="minorHAnsi" w:cstheme="minorHAnsi"/>
          <w:lang w:val="es-ES"/>
        </w:rPr>
      </w:pPr>
    </w:p>
    <w:p w14:paraId="1C2A227E" w14:textId="77777777" w:rsidR="00901755" w:rsidRPr="002150BE" w:rsidRDefault="00901755" w:rsidP="00AD62D4">
      <w:pPr>
        <w:rPr>
          <w:rFonts w:asciiTheme="minorHAnsi" w:hAnsiTheme="minorHAnsi" w:cstheme="minorHAnsi"/>
          <w:lang w:val="es-ES"/>
        </w:rPr>
      </w:pPr>
    </w:p>
    <w:p w14:paraId="3C2CB84D" w14:textId="371CA49D" w:rsidR="00901755" w:rsidRPr="002150BE" w:rsidRDefault="00901755" w:rsidP="00AD62D4">
      <w:pPr>
        <w:rPr>
          <w:rFonts w:asciiTheme="minorHAnsi" w:hAnsiTheme="minorHAnsi" w:cstheme="minorHAnsi"/>
          <w:lang w:val="es-ES"/>
        </w:rPr>
      </w:pPr>
    </w:p>
    <w:tbl>
      <w:tblPr>
        <w:tblW w:w="0" w:type="auto"/>
        <w:tblInd w:w="-289" w:type="dxa"/>
        <w:tblCellMar>
          <w:left w:w="70" w:type="dxa"/>
          <w:right w:w="70" w:type="dxa"/>
        </w:tblCellMar>
        <w:tblLook w:val="04A0" w:firstRow="1" w:lastRow="0" w:firstColumn="1" w:lastColumn="0" w:noHBand="0" w:noVBand="1"/>
      </w:tblPr>
      <w:tblGrid>
        <w:gridCol w:w="232"/>
        <w:gridCol w:w="358"/>
        <w:gridCol w:w="696"/>
        <w:gridCol w:w="450"/>
        <w:gridCol w:w="146"/>
        <w:gridCol w:w="146"/>
        <w:gridCol w:w="383"/>
        <w:gridCol w:w="375"/>
        <w:gridCol w:w="368"/>
        <w:gridCol w:w="362"/>
        <w:gridCol w:w="153"/>
        <w:gridCol w:w="153"/>
        <w:gridCol w:w="150"/>
        <w:gridCol w:w="149"/>
        <w:gridCol w:w="229"/>
        <w:gridCol w:w="229"/>
        <w:gridCol w:w="1324"/>
        <w:gridCol w:w="629"/>
        <w:gridCol w:w="140"/>
        <w:gridCol w:w="140"/>
        <w:gridCol w:w="140"/>
        <w:gridCol w:w="1122"/>
        <w:gridCol w:w="140"/>
        <w:gridCol w:w="149"/>
        <w:gridCol w:w="177"/>
        <w:gridCol w:w="140"/>
        <w:gridCol w:w="587"/>
      </w:tblGrid>
      <w:tr w:rsidR="00603217" w:rsidRPr="002150BE" w14:paraId="72CD9F63" w14:textId="77777777" w:rsidTr="002D2C4C">
        <w:trPr>
          <w:trHeight w:val="397"/>
        </w:trPr>
        <w:tc>
          <w:tcPr>
            <w:tcW w:w="0" w:type="auto"/>
            <w:gridSpan w:val="2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04040" w:themeFill="text1" w:themeFillTint="BF"/>
            <w:vAlign w:val="center"/>
            <w:hideMark/>
          </w:tcPr>
          <w:p w14:paraId="13A66DC3" w14:textId="52202AF4" w:rsidR="00603217" w:rsidRPr="002150BE" w:rsidRDefault="00603217" w:rsidP="00603217">
            <w:pPr>
              <w:spacing w:after="0" w:line="240" w:lineRule="auto"/>
              <w:jc w:val="center"/>
              <w:rPr>
                <w:rFonts w:asciiTheme="minorHAnsi" w:eastAsia="Times New Roman" w:hAnsiTheme="minorHAnsi" w:cstheme="minorHAnsi"/>
                <w:b/>
                <w:bCs/>
                <w:color w:val="FFFFFF"/>
                <w:szCs w:val="16"/>
                <w:lang w:eastAsia="es-MX"/>
              </w:rPr>
            </w:pPr>
            <w:r w:rsidRPr="002150BE">
              <w:rPr>
                <w:rFonts w:asciiTheme="minorHAnsi" w:eastAsia="Times New Roman" w:hAnsiTheme="minorHAnsi" w:cstheme="minorHAnsi"/>
                <w:b/>
                <w:bCs/>
                <w:color w:val="FFFFFF"/>
                <w:szCs w:val="16"/>
                <w:lang w:eastAsia="es-MX"/>
              </w:rPr>
              <w:lastRenderedPageBreak/>
              <w:t>Anexo 7. Procedimiento de actualización de la población atendida</w:t>
            </w:r>
          </w:p>
        </w:tc>
      </w:tr>
      <w:tr w:rsidR="00603217" w:rsidRPr="002150BE" w14:paraId="28C5F893" w14:textId="77777777" w:rsidTr="002D2C4C">
        <w:trPr>
          <w:trHeight w:val="294"/>
        </w:trPr>
        <w:tc>
          <w:tcPr>
            <w:tcW w:w="0" w:type="auto"/>
            <w:gridSpan w:val="2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F7F7F" w:themeFill="text1" w:themeFillTint="80"/>
            <w:noWrap/>
            <w:vAlign w:val="center"/>
            <w:hideMark/>
          </w:tcPr>
          <w:p w14:paraId="55689917" w14:textId="77777777" w:rsidR="00603217" w:rsidRPr="002150BE" w:rsidRDefault="00603217" w:rsidP="00603217">
            <w:pPr>
              <w:spacing w:after="0" w:line="240" w:lineRule="auto"/>
              <w:jc w:val="center"/>
              <w:rPr>
                <w:rFonts w:asciiTheme="minorHAnsi" w:eastAsia="Times New Roman" w:hAnsiTheme="minorHAnsi" w:cstheme="minorHAnsi"/>
                <w:b/>
                <w:bCs/>
                <w:color w:val="FFFFFF"/>
                <w:sz w:val="18"/>
                <w:szCs w:val="16"/>
                <w:lang w:eastAsia="es-MX"/>
              </w:rPr>
            </w:pPr>
            <w:r w:rsidRPr="002150BE">
              <w:rPr>
                <w:rFonts w:asciiTheme="minorHAnsi" w:eastAsia="Times New Roman" w:hAnsiTheme="minorHAnsi" w:cstheme="minorHAnsi"/>
                <w:b/>
                <w:bCs/>
                <w:color w:val="FFFFFF"/>
                <w:sz w:val="18"/>
                <w:szCs w:val="16"/>
                <w:lang w:eastAsia="es-MX"/>
              </w:rPr>
              <w:t>Procedimiento documentado</w:t>
            </w:r>
          </w:p>
        </w:tc>
      </w:tr>
      <w:tr w:rsidR="00603217" w:rsidRPr="002150BE" w14:paraId="333170D7" w14:textId="77777777" w:rsidTr="002D2C4C">
        <w:trPr>
          <w:trHeight w:val="483"/>
        </w:trPr>
        <w:tc>
          <w:tcPr>
            <w:tcW w:w="0" w:type="auto"/>
            <w:tcBorders>
              <w:top w:val="single" w:sz="4" w:space="0" w:color="BFBFBF" w:themeColor="background1" w:themeShade="BF"/>
              <w:left w:val="single" w:sz="4" w:space="0" w:color="BFBFBF" w:themeColor="background1" w:themeShade="BF"/>
              <w:bottom w:val="nil"/>
              <w:right w:val="nil"/>
            </w:tcBorders>
            <w:noWrap/>
            <w:vAlign w:val="center"/>
            <w:hideMark/>
          </w:tcPr>
          <w:p w14:paraId="4DDDE47C"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c>
          <w:tcPr>
            <w:tcW w:w="0" w:type="auto"/>
            <w:gridSpan w:val="26"/>
            <w:tcBorders>
              <w:top w:val="single" w:sz="4" w:space="0" w:color="BFBFBF" w:themeColor="background1" w:themeShade="BF"/>
              <w:left w:val="nil"/>
              <w:bottom w:val="nil"/>
              <w:right w:val="single" w:sz="4" w:space="0" w:color="BFBFBF" w:themeColor="background1" w:themeShade="BF"/>
            </w:tcBorders>
            <w:vAlign w:val="center"/>
            <w:hideMark/>
          </w:tcPr>
          <w:p w14:paraId="54935505"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1. ¿El programa cuenta con un procedimiento documentado y normado para la integración, actualización y depuración de la población atendida?</w:t>
            </w:r>
          </w:p>
        </w:tc>
      </w:tr>
      <w:tr w:rsidR="00BC7761" w:rsidRPr="002150BE" w14:paraId="14AF38B9" w14:textId="77777777" w:rsidTr="002D2C4C">
        <w:trPr>
          <w:trHeight w:val="271"/>
        </w:trPr>
        <w:tc>
          <w:tcPr>
            <w:tcW w:w="0" w:type="auto"/>
            <w:tcBorders>
              <w:top w:val="nil"/>
              <w:left w:val="single" w:sz="4" w:space="0" w:color="BFBFBF" w:themeColor="background1" w:themeShade="BF"/>
              <w:bottom w:val="nil"/>
              <w:right w:val="nil"/>
            </w:tcBorders>
            <w:noWrap/>
            <w:vAlign w:val="center"/>
            <w:hideMark/>
          </w:tcPr>
          <w:p w14:paraId="0AC2C1A6"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c>
          <w:tcPr>
            <w:tcW w:w="0" w:type="auto"/>
            <w:tcBorders>
              <w:top w:val="nil"/>
              <w:left w:val="nil"/>
              <w:bottom w:val="nil"/>
              <w:right w:val="nil"/>
            </w:tcBorders>
            <w:noWrap/>
            <w:vAlign w:val="center"/>
            <w:hideMark/>
          </w:tcPr>
          <w:p w14:paraId="6C8BB31A"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p>
        </w:tc>
        <w:tc>
          <w:tcPr>
            <w:tcW w:w="0" w:type="auto"/>
            <w:tcBorders>
              <w:top w:val="nil"/>
              <w:left w:val="nil"/>
              <w:bottom w:val="nil"/>
              <w:right w:val="nil"/>
            </w:tcBorders>
            <w:noWrap/>
            <w:vAlign w:val="center"/>
            <w:hideMark/>
          </w:tcPr>
          <w:p w14:paraId="4662D652"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nil"/>
              <w:left w:val="nil"/>
              <w:bottom w:val="nil"/>
              <w:right w:val="nil"/>
            </w:tcBorders>
            <w:noWrap/>
            <w:vAlign w:val="center"/>
            <w:hideMark/>
          </w:tcPr>
          <w:p w14:paraId="58C4D497"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2"/>
            <w:tcBorders>
              <w:top w:val="nil"/>
              <w:left w:val="nil"/>
              <w:bottom w:val="nil"/>
              <w:right w:val="nil"/>
            </w:tcBorders>
            <w:noWrap/>
            <w:vAlign w:val="center"/>
            <w:hideMark/>
          </w:tcPr>
          <w:p w14:paraId="121C85AA"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nil"/>
              <w:left w:val="nil"/>
              <w:bottom w:val="nil"/>
              <w:right w:val="nil"/>
            </w:tcBorders>
            <w:noWrap/>
            <w:vAlign w:val="center"/>
            <w:hideMark/>
          </w:tcPr>
          <w:p w14:paraId="6B40984E"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nil"/>
              <w:left w:val="nil"/>
              <w:bottom w:val="nil"/>
              <w:right w:val="nil"/>
            </w:tcBorders>
            <w:noWrap/>
            <w:vAlign w:val="center"/>
            <w:hideMark/>
          </w:tcPr>
          <w:p w14:paraId="281FE877"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nil"/>
              <w:left w:val="nil"/>
              <w:bottom w:val="nil"/>
              <w:right w:val="nil"/>
            </w:tcBorders>
            <w:noWrap/>
            <w:vAlign w:val="center"/>
            <w:hideMark/>
          </w:tcPr>
          <w:p w14:paraId="6B25E815"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nil"/>
              <w:left w:val="nil"/>
              <w:bottom w:val="nil"/>
              <w:right w:val="nil"/>
            </w:tcBorders>
            <w:noWrap/>
            <w:vAlign w:val="center"/>
            <w:hideMark/>
          </w:tcPr>
          <w:p w14:paraId="28455914"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4"/>
            <w:tcBorders>
              <w:top w:val="nil"/>
              <w:left w:val="nil"/>
              <w:bottom w:val="nil"/>
              <w:right w:val="nil"/>
            </w:tcBorders>
            <w:noWrap/>
            <w:vAlign w:val="center"/>
            <w:hideMark/>
          </w:tcPr>
          <w:p w14:paraId="07771A07"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2"/>
            <w:tcBorders>
              <w:top w:val="nil"/>
              <w:left w:val="nil"/>
              <w:bottom w:val="nil"/>
              <w:right w:val="nil"/>
            </w:tcBorders>
            <w:noWrap/>
            <w:vAlign w:val="center"/>
            <w:hideMark/>
          </w:tcPr>
          <w:p w14:paraId="7F2E3623"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9"/>
            <w:tcBorders>
              <w:top w:val="nil"/>
              <w:left w:val="nil"/>
              <w:bottom w:val="nil"/>
              <w:right w:val="nil"/>
            </w:tcBorders>
            <w:noWrap/>
            <w:vAlign w:val="center"/>
            <w:hideMark/>
          </w:tcPr>
          <w:p w14:paraId="2ADFD460" w14:textId="77777777" w:rsidR="00603217" w:rsidRPr="002150BE" w:rsidRDefault="00603217" w:rsidP="00603217">
            <w:pPr>
              <w:spacing w:after="0" w:line="240" w:lineRule="auto"/>
              <w:jc w:val="center"/>
              <w:rPr>
                <w:rFonts w:asciiTheme="minorHAnsi" w:eastAsia="Times New Roman" w:hAnsiTheme="minorHAnsi" w:cstheme="minorHAnsi"/>
                <w:i/>
                <w:iCs/>
                <w:color w:val="000000"/>
                <w:sz w:val="16"/>
                <w:szCs w:val="16"/>
                <w:lang w:eastAsia="es-MX"/>
              </w:rPr>
            </w:pPr>
            <w:r w:rsidRPr="002150BE">
              <w:rPr>
                <w:rFonts w:asciiTheme="minorHAnsi" w:eastAsia="Times New Roman" w:hAnsiTheme="minorHAnsi" w:cstheme="minorHAnsi"/>
                <w:i/>
                <w:iCs/>
                <w:color w:val="000000"/>
                <w:sz w:val="16"/>
                <w:szCs w:val="16"/>
                <w:lang w:eastAsia="es-MX"/>
              </w:rPr>
              <w:t>Indicar el nombre del documento</w:t>
            </w:r>
          </w:p>
        </w:tc>
        <w:tc>
          <w:tcPr>
            <w:tcW w:w="0" w:type="auto"/>
            <w:gridSpan w:val="2"/>
            <w:tcBorders>
              <w:top w:val="nil"/>
              <w:left w:val="nil"/>
              <w:bottom w:val="nil"/>
              <w:right w:val="single" w:sz="4" w:space="0" w:color="BFBFBF" w:themeColor="background1" w:themeShade="BF"/>
            </w:tcBorders>
            <w:noWrap/>
            <w:vAlign w:val="center"/>
            <w:hideMark/>
          </w:tcPr>
          <w:p w14:paraId="67E343DC"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r>
      <w:tr w:rsidR="00BC7761" w:rsidRPr="002150BE" w14:paraId="7B9F542F" w14:textId="77777777" w:rsidTr="004F7314">
        <w:trPr>
          <w:trHeight w:val="280"/>
        </w:trPr>
        <w:tc>
          <w:tcPr>
            <w:tcW w:w="0" w:type="auto"/>
            <w:tcBorders>
              <w:top w:val="nil"/>
              <w:left w:val="single" w:sz="4" w:space="0" w:color="BFBFBF" w:themeColor="background1" w:themeShade="BF"/>
              <w:bottom w:val="nil"/>
              <w:right w:val="nil"/>
            </w:tcBorders>
            <w:noWrap/>
            <w:vAlign w:val="center"/>
            <w:hideMark/>
          </w:tcPr>
          <w:p w14:paraId="211FD6F8" w14:textId="77777777" w:rsidR="00BC7761" w:rsidRPr="002150BE" w:rsidRDefault="00BC7761"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c>
          <w:tcPr>
            <w:tcW w:w="0" w:type="auto"/>
            <w:tcBorders>
              <w:top w:val="single" w:sz="4" w:space="0" w:color="595959"/>
              <w:left w:val="single" w:sz="4" w:space="0" w:color="595959"/>
              <w:bottom w:val="single" w:sz="4" w:space="0" w:color="595959"/>
              <w:right w:val="single" w:sz="4" w:space="0" w:color="595959"/>
            </w:tcBorders>
            <w:noWrap/>
            <w:vAlign w:val="center"/>
            <w:hideMark/>
          </w:tcPr>
          <w:p w14:paraId="5D869FB0" w14:textId="77777777" w:rsidR="00BC7761" w:rsidRPr="002150BE" w:rsidRDefault="00BC7761" w:rsidP="00BC7761">
            <w:pPr>
              <w:spacing w:after="0" w:line="240" w:lineRule="auto"/>
              <w:jc w:val="center"/>
              <w:rPr>
                <w:rFonts w:asciiTheme="minorHAnsi" w:eastAsia="Times New Roman" w:hAnsiTheme="minorHAnsi" w:cstheme="minorHAnsi"/>
                <w:b/>
                <w:bCs/>
                <w:color w:val="000000"/>
                <w:sz w:val="16"/>
                <w:szCs w:val="16"/>
                <w:lang w:eastAsia="es-MX"/>
              </w:rPr>
            </w:pPr>
            <w:r w:rsidRPr="002150BE">
              <w:rPr>
                <w:rFonts w:asciiTheme="minorHAnsi" w:eastAsia="Times New Roman" w:hAnsiTheme="minorHAnsi" w:cstheme="minorHAnsi"/>
                <w:b/>
                <w:bCs/>
                <w:color w:val="000000"/>
                <w:sz w:val="16"/>
                <w:szCs w:val="16"/>
                <w:lang w:eastAsia="es-MX"/>
              </w:rPr>
              <w:t>X</w:t>
            </w:r>
          </w:p>
        </w:tc>
        <w:tc>
          <w:tcPr>
            <w:tcW w:w="0" w:type="auto"/>
            <w:gridSpan w:val="12"/>
            <w:tcBorders>
              <w:top w:val="nil"/>
              <w:left w:val="nil"/>
              <w:bottom w:val="nil"/>
              <w:right w:val="nil"/>
            </w:tcBorders>
            <w:noWrap/>
            <w:vAlign w:val="center"/>
            <w:hideMark/>
          </w:tcPr>
          <w:p w14:paraId="10A91A9A" w14:textId="77777777" w:rsidR="00BC7761" w:rsidRPr="002150BE" w:rsidRDefault="00BC7761" w:rsidP="002D2C4C">
            <w:pPr>
              <w:spacing w:after="0" w:line="240" w:lineRule="auto"/>
              <w:jc w:val="left"/>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Existe un procedimiento específico y está documentado.</w:t>
            </w:r>
          </w:p>
        </w:tc>
        <w:tc>
          <w:tcPr>
            <w:tcW w:w="0" w:type="auto"/>
            <w:gridSpan w:val="11"/>
            <w:tcBorders>
              <w:top w:val="nil"/>
              <w:left w:val="nil"/>
              <w:bottom w:val="single" w:sz="4" w:space="0" w:color="595959"/>
              <w:right w:val="nil"/>
            </w:tcBorders>
            <w:noWrap/>
            <w:vAlign w:val="center"/>
            <w:hideMark/>
          </w:tcPr>
          <w:p w14:paraId="426E3C7E" w14:textId="77777777" w:rsidR="00BC7761" w:rsidRPr="002150BE" w:rsidRDefault="00BC7761" w:rsidP="00BC7761">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PRO-ACA-001 “Admisión del alumnado” y PRO-ACA-002 “Inscripción” </w:t>
            </w:r>
          </w:p>
        </w:tc>
        <w:tc>
          <w:tcPr>
            <w:tcW w:w="0" w:type="auto"/>
            <w:gridSpan w:val="2"/>
            <w:tcBorders>
              <w:top w:val="nil"/>
              <w:left w:val="nil"/>
              <w:bottom w:val="nil"/>
              <w:right w:val="single" w:sz="4" w:space="0" w:color="BFBFBF" w:themeColor="background1" w:themeShade="BF"/>
            </w:tcBorders>
            <w:noWrap/>
            <w:vAlign w:val="center"/>
            <w:hideMark/>
          </w:tcPr>
          <w:p w14:paraId="1A13909B" w14:textId="77777777" w:rsidR="00BC7761" w:rsidRPr="002150BE" w:rsidRDefault="00BC7761"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r>
      <w:tr w:rsidR="00BC7761" w:rsidRPr="002150BE" w14:paraId="03B956E5" w14:textId="77777777" w:rsidTr="002D2C4C">
        <w:trPr>
          <w:trHeight w:val="280"/>
        </w:trPr>
        <w:tc>
          <w:tcPr>
            <w:tcW w:w="0" w:type="auto"/>
            <w:tcBorders>
              <w:top w:val="nil"/>
              <w:left w:val="single" w:sz="4" w:space="0" w:color="BFBFBF" w:themeColor="background1" w:themeShade="BF"/>
              <w:bottom w:val="nil"/>
              <w:right w:val="nil"/>
            </w:tcBorders>
            <w:noWrap/>
            <w:vAlign w:val="center"/>
            <w:hideMark/>
          </w:tcPr>
          <w:p w14:paraId="2A6D9306"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c>
          <w:tcPr>
            <w:tcW w:w="0" w:type="auto"/>
            <w:tcBorders>
              <w:top w:val="single" w:sz="4" w:space="0" w:color="595959"/>
              <w:left w:val="single" w:sz="4" w:space="0" w:color="595959"/>
              <w:bottom w:val="single" w:sz="4" w:space="0" w:color="595959"/>
              <w:right w:val="single" w:sz="4" w:space="0" w:color="595959"/>
            </w:tcBorders>
            <w:noWrap/>
            <w:vAlign w:val="center"/>
            <w:hideMark/>
          </w:tcPr>
          <w:p w14:paraId="48AE2213"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c>
          <w:tcPr>
            <w:tcW w:w="0" w:type="auto"/>
            <w:gridSpan w:val="14"/>
            <w:tcBorders>
              <w:top w:val="nil"/>
              <w:left w:val="nil"/>
              <w:bottom w:val="nil"/>
              <w:right w:val="nil"/>
            </w:tcBorders>
            <w:noWrap/>
            <w:vAlign w:val="center"/>
            <w:hideMark/>
          </w:tcPr>
          <w:p w14:paraId="5B5E0506" w14:textId="77777777" w:rsidR="00603217" w:rsidRPr="002150BE" w:rsidRDefault="00603217" w:rsidP="002D2C4C">
            <w:pPr>
              <w:spacing w:after="0" w:line="240" w:lineRule="auto"/>
              <w:jc w:val="left"/>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Existe un procedimiento específico, pero no está documentado.</w:t>
            </w:r>
          </w:p>
        </w:tc>
        <w:tc>
          <w:tcPr>
            <w:tcW w:w="0" w:type="auto"/>
            <w:tcBorders>
              <w:top w:val="nil"/>
              <w:left w:val="nil"/>
              <w:bottom w:val="nil"/>
              <w:right w:val="nil"/>
            </w:tcBorders>
            <w:noWrap/>
            <w:vAlign w:val="center"/>
            <w:hideMark/>
          </w:tcPr>
          <w:p w14:paraId="40F39404"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p>
        </w:tc>
        <w:tc>
          <w:tcPr>
            <w:tcW w:w="0" w:type="auto"/>
            <w:tcBorders>
              <w:top w:val="nil"/>
              <w:left w:val="nil"/>
              <w:bottom w:val="nil"/>
              <w:right w:val="nil"/>
            </w:tcBorders>
            <w:noWrap/>
            <w:vAlign w:val="center"/>
            <w:hideMark/>
          </w:tcPr>
          <w:p w14:paraId="5B823950"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5"/>
            <w:tcBorders>
              <w:top w:val="nil"/>
              <w:left w:val="nil"/>
              <w:bottom w:val="nil"/>
              <w:right w:val="nil"/>
            </w:tcBorders>
            <w:noWrap/>
            <w:vAlign w:val="center"/>
            <w:hideMark/>
          </w:tcPr>
          <w:p w14:paraId="2DDDA66D"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2"/>
            <w:tcBorders>
              <w:top w:val="nil"/>
              <w:left w:val="nil"/>
              <w:bottom w:val="nil"/>
              <w:right w:val="nil"/>
            </w:tcBorders>
            <w:noWrap/>
            <w:vAlign w:val="center"/>
            <w:hideMark/>
          </w:tcPr>
          <w:p w14:paraId="2B4680CF"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2"/>
            <w:tcBorders>
              <w:top w:val="nil"/>
              <w:left w:val="nil"/>
              <w:bottom w:val="nil"/>
              <w:right w:val="single" w:sz="4" w:space="0" w:color="BFBFBF" w:themeColor="background1" w:themeShade="BF"/>
            </w:tcBorders>
            <w:noWrap/>
            <w:vAlign w:val="center"/>
            <w:hideMark/>
          </w:tcPr>
          <w:p w14:paraId="4AC85D8A"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r>
      <w:tr w:rsidR="00BC7761" w:rsidRPr="002150BE" w14:paraId="166961BC" w14:textId="77777777" w:rsidTr="002D2C4C">
        <w:trPr>
          <w:trHeight w:val="280"/>
        </w:trPr>
        <w:tc>
          <w:tcPr>
            <w:tcW w:w="0" w:type="auto"/>
            <w:tcBorders>
              <w:top w:val="nil"/>
              <w:left w:val="single" w:sz="4" w:space="0" w:color="BFBFBF" w:themeColor="background1" w:themeShade="BF"/>
              <w:bottom w:val="nil"/>
              <w:right w:val="nil"/>
            </w:tcBorders>
            <w:noWrap/>
            <w:vAlign w:val="center"/>
            <w:hideMark/>
          </w:tcPr>
          <w:p w14:paraId="784747E9"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c>
          <w:tcPr>
            <w:tcW w:w="0" w:type="auto"/>
            <w:tcBorders>
              <w:top w:val="single" w:sz="4" w:space="0" w:color="595959"/>
              <w:left w:val="single" w:sz="4" w:space="0" w:color="595959"/>
              <w:bottom w:val="single" w:sz="4" w:space="0" w:color="595959"/>
              <w:right w:val="single" w:sz="4" w:space="0" w:color="595959"/>
            </w:tcBorders>
            <w:noWrap/>
            <w:vAlign w:val="center"/>
            <w:hideMark/>
          </w:tcPr>
          <w:p w14:paraId="619EA2BD"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c>
          <w:tcPr>
            <w:tcW w:w="0" w:type="auto"/>
            <w:gridSpan w:val="12"/>
            <w:vMerge w:val="restart"/>
            <w:tcBorders>
              <w:top w:val="nil"/>
              <w:left w:val="nil"/>
              <w:bottom w:val="nil"/>
              <w:right w:val="nil"/>
            </w:tcBorders>
            <w:vAlign w:val="center"/>
            <w:hideMark/>
          </w:tcPr>
          <w:p w14:paraId="1DD6187C" w14:textId="77777777" w:rsidR="00603217" w:rsidRPr="002150BE" w:rsidRDefault="00603217" w:rsidP="002D2C4C">
            <w:pPr>
              <w:spacing w:after="0" w:line="240" w:lineRule="auto"/>
              <w:jc w:val="left"/>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Se encuentra normado en alguna Ley, Lineamiento, ordenamiento institucional u otro.</w:t>
            </w:r>
          </w:p>
        </w:tc>
        <w:tc>
          <w:tcPr>
            <w:tcW w:w="0" w:type="auto"/>
            <w:gridSpan w:val="2"/>
            <w:tcBorders>
              <w:top w:val="nil"/>
              <w:left w:val="nil"/>
              <w:bottom w:val="nil"/>
              <w:right w:val="nil"/>
            </w:tcBorders>
            <w:vAlign w:val="center"/>
            <w:hideMark/>
          </w:tcPr>
          <w:p w14:paraId="39760F22"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p>
        </w:tc>
        <w:tc>
          <w:tcPr>
            <w:tcW w:w="0" w:type="auto"/>
            <w:tcBorders>
              <w:top w:val="nil"/>
              <w:left w:val="nil"/>
              <w:bottom w:val="nil"/>
              <w:right w:val="nil"/>
            </w:tcBorders>
            <w:noWrap/>
            <w:vAlign w:val="center"/>
            <w:hideMark/>
          </w:tcPr>
          <w:p w14:paraId="012F6D23"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nil"/>
              <w:left w:val="nil"/>
              <w:bottom w:val="nil"/>
              <w:right w:val="nil"/>
            </w:tcBorders>
            <w:noWrap/>
            <w:vAlign w:val="center"/>
            <w:hideMark/>
          </w:tcPr>
          <w:p w14:paraId="137A8CC4"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5"/>
            <w:tcBorders>
              <w:top w:val="nil"/>
              <w:left w:val="nil"/>
              <w:bottom w:val="nil"/>
              <w:right w:val="nil"/>
            </w:tcBorders>
            <w:noWrap/>
            <w:vAlign w:val="center"/>
            <w:hideMark/>
          </w:tcPr>
          <w:p w14:paraId="5F7705C2"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2"/>
            <w:tcBorders>
              <w:top w:val="nil"/>
              <w:left w:val="nil"/>
              <w:bottom w:val="nil"/>
              <w:right w:val="nil"/>
            </w:tcBorders>
            <w:noWrap/>
            <w:vAlign w:val="center"/>
            <w:hideMark/>
          </w:tcPr>
          <w:p w14:paraId="7424BE8D"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2"/>
            <w:tcBorders>
              <w:top w:val="nil"/>
              <w:left w:val="nil"/>
              <w:bottom w:val="nil"/>
              <w:right w:val="single" w:sz="4" w:space="0" w:color="BFBFBF" w:themeColor="background1" w:themeShade="BF"/>
            </w:tcBorders>
            <w:noWrap/>
            <w:vAlign w:val="center"/>
            <w:hideMark/>
          </w:tcPr>
          <w:p w14:paraId="40AF0BED"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r>
      <w:tr w:rsidR="00BC7761" w:rsidRPr="002150BE" w14:paraId="1C6879AB" w14:textId="77777777" w:rsidTr="002D2C4C">
        <w:trPr>
          <w:trHeight w:val="350"/>
        </w:trPr>
        <w:tc>
          <w:tcPr>
            <w:tcW w:w="0" w:type="auto"/>
            <w:tcBorders>
              <w:top w:val="nil"/>
              <w:left w:val="single" w:sz="4" w:space="0" w:color="BFBFBF" w:themeColor="background1" w:themeShade="BF"/>
              <w:bottom w:val="nil"/>
              <w:right w:val="nil"/>
            </w:tcBorders>
            <w:noWrap/>
            <w:vAlign w:val="center"/>
            <w:hideMark/>
          </w:tcPr>
          <w:p w14:paraId="63D72C95"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c>
          <w:tcPr>
            <w:tcW w:w="0" w:type="auto"/>
            <w:tcBorders>
              <w:top w:val="nil"/>
              <w:left w:val="nil"/>
              <w:bottom w:val="nil"/>
              <w:right w:val="nil"/>
            </w:tcBorders>
            <w:noWrap/>
            <w:vAlign w:val="center"/>
            <w:hideMark/>
          </w:tcPr>
          <w:p w14:paraId="50D62E50"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p>
        </w:tc>
        <w:tc>
          <w:tcPr>
            <w:tcW w:w="0" w:type="auto"/>
            <w:gridSpan w:val="12"/>
            <w:vMerge/>
            <w:tcBorders>
              <w:top w:val="nil"/>
              <w:left w:val="nil"/>
              <w:bottom w:val="nil"/>
              <w:right w:val="nil"/>
            </w:tcBorders>
            <w:vAlign w:val="center"/>
            <w:hideMark/>
          </w:tcPr>
          <w:p w14:paraId="43BB9944"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p>
        </w:tc>
        <w:tc>
          <w:tcPr>
            <w:tcW w:w="0" w:type="auto"/>
            <w:gridSpan w:val="2"/>
            <w:tcBorders>
              <w:top w:val="nil"/>
              <w:left w:val="nil"/>
              <w:bottom w:val="nil"/>
              <w:right w:val="nil"/>
            </w:tcBorders>
            <w:vAlign w:val="center"/>
            <w:hideMark/>
          </w:tcPr>
          <w:p w14:paraId="0EF39641"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nil"/>
              <w:left w:val="nil"/>
              <w:bottom w:val="nil"/>
              <w:right w:val="nil"/>
            </w:tcBorders>
            <w:noWrap/>
            <w:vAlign w:val="center"/>
            <w:hideMark/>
          </w:tcPr>
          <w:p w14:paraId="31D7F935"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nil"/>
              <w:left w:val="nil"/>
              <w:bottom w:val="nil"/>
              <w:right w:val="nil"/>
            </w:tcBorders>
            <w:noWrap/>
            <w:vAlign w:val="center"/>
            <w:hideMark/>
          </w:tcPr>
          <w:p w14:paraId="45802591"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5"/>
            <w:tcBorders>
              <w:top w:val="nil"/>
              <w:left w:val="nil"/>
              <w:bottom w:val="nil"/>
              <w:right w:val="nil"/>
            </w:tcBorders>
            <w:noWrap/>
            <w:vAlign w:val="center"/>
            <w:hideMark/>
          </w:tcPr>
          <w:p w14:paraId="602E182C"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2"/>
            <w:tcBorders>
              <w:top w:val="nil"/>
              <w:left w:val="nil"/>
              <w:bottom w:val="nil"/>
              <w:right w:val="nil"/>
            </w:tcBorders>
            <w:noWrap/>
            <w:vAlign w:val="center"/>
            <w:hideMark/>
          </w:tcPr>
          <w:p w14:paraId="63622A6C"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2"/>
            <w:tcBorders>
              <w:top w:val="nil"/>
              <w:left w:val="nil"/>
              <w:bottom w:val="nil"/>
              <w:right w:val="single" w:sz="4" w:space="0" w:color="BFBFBF" w:themeColor="background1" w:themeShade="BF"/>
            </w:tcBorders>
            <w:noWrap/>
            <w:vAlign w:val="center"/>
            <w:hideMark/>
          </w:tcPr>
          <w:p w14:paraId="4802544A"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r>
      <w:tr w:rsidR="00603217" w:rsidRPr="002150BE" w14:paraId="398FB8AC" w14:textId="77777777" w:rsidTr="002D2C4C">
        <w:trPr>
          <w:trHeight w:val="406"/>
        </w:trPr>
        <w:tc>
          <w:tcPr>
            <w:tcW w:w="0" w:type="auto"/>
            <w:tcBorders>
              <w:top w:val="nil"/>
              <w:left w:val="single" w:sz="4" w:space="0" w:color="BFBFBF" w:themeColor="background1" w:themeShade="BF"/>
              <w:bottom w:val="nil"/>
              <w:right w:val="nil"/>
            </w:tcBorders>
            <w:noWrap/>
            <w:vAlign w:val="center"/>
            <w:hideMark/>
          </w:tcPr>
          <w:p w14:paraId="6F106657"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c>
          <w:tcPr>
            <w:tcW w:w="0" w:type="auto"/>
            <w:gridSpan w:val="26"/>
            <w:tcBorders>
              <w:top w:val="nil"/>
              <w:left w:val="nil"/>
              <w:bottom w:val="nil"/>
              <w:right w:val="single" w:sz="4" w:space="0" w:color="BFBFBF" w:themeColor="background1" w:themeShade="BF"/>
            </w:tcBorders>
            <w:vAlign w:val="center"/>
            <w:hideMark/>
          </w:tcPr>
          <w:p w14:paraId="633313E9"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2. El procedimiento contempla los siguientes elementos sobre el padrón de la población atendida:</w:t>
            </w:r>
          </w:p>
        </w:tc>
      </w:tr>
      <w:tr w:rsidR="00BC7761" w:rsidRPr="002150BE" w14:paraId="79E2C655" w14:textId="77777777" w:rsidTr="002D2C4C">
        <w:trPr>
          <w:trHeight w:val="280"/>
        </w:trPr>
        <w:tc>
          <w:tcPr>
            <w:tcW w:w="0" w:type="auto"/>
            <w:tcBorders>
              <w:top w:val="nil"/>
              <w:left w:val="single" w:sz="4" w:space="0" w:color="BFBFBF" w:themeColor="background1" w:themeShade="BF"/>
              <w:bottom w:val="nil"/>
              <w:right w:val="nil"/>
            </w:tcBorders>
            <w:noWrap/>
            <w:vAlign w:val="center"/>
            <w:hideMark/>
          </w:tcPr>
          <w:p w14:paraId="59AC6EF5" w14:textId="77777777" w:rsidR="00603217" w:rsidRPr="002150BE" w:rsidRDefault="00603217" w:rsidP="00603217">
            <w:pPr>
              <w:spacing w:after="0" w:line="240" w:lineRule="auto"/>
              <w:rPr>
                <w:rFonts w:asciiTheme="minorHAnsi" w:eastAsia="Times New Roman" w:hAnsiTheme="minorHAnsi" w:cstheme="minorHAnsi"/>
                <w:b/>
                <w:color w:val="000000"/>
                <w:sz w:val="16"/>
                <w:szCs w:val="16"/>
                <w:lang w:eastAsia="es-MX"/>
              </w:rPr>
            </w:pPr>
            <w:r w:rsidRPr="002150BE">
              <w:rPr>
                <w:rFonts w:asciiTheme="minorHAnsi" w:eastAsia="Times New Roman" w:hAnsiTheme="minorHAnsi" w:cstheme="minorHAnsi"/>
                <w:b/>
                <w:color w:val="000000"/>
                <w:sz w:val="16"/>
                <w:szCs w:val="16"/>
                <w:lang w:eastAsia="es-MX"/>
              </w:rPr>
              <w:t> </w:t>
            </w:r>
          </w:p>
        </w:tc>
        <w:tc>
          <w:tcPr>
            <w:tcW w:w="0" w:type="auto"/>
            <w:gridSpan w:val="9"/>
            <w:tcBorders>
              <w:top w:val="nil"/>
              <w:left w:val="nil"/>
              <w:bottom w:val="nil"/>
              <w:right w:val="nil"/>
            </w:tcBorders>
            <w:noWrap/>
            <w:vAlign w:val="center"/>
            <w:hideMark/>
          </w:tcPr>
          <w:p w14:paraId="472989FD" w14:textId="77777777" w:rsidR="00603217" w:rsidRPr="002150BE" w:rsidRDefault="00603217" w:rsidP="00603217">
            <w:pPr>
              <w:spacing w:after="0" w:line="240" w:lineRule="auto"/>
              <w:jc w:val="center"/>
              <w:rPr>
                <w:rFonts w:asciiTheme="minorHAnsi" w:eastAsia="Times New Roman" w:hAnsiTheme="minorHAnsi" w:cstheme="minorHAnsi"/>
                <w:b/>
                <w:bCs/>
                <w:color w:val="000000"/>
                <w:sz w:val="16"/>
                <w:szCs w:val="16"/>
                <w:lang w:eastAsia="es-MX"/>
              </w:rPr>
            </w:pPr>
            <w:r w:rsidRPr="002150BE">
              <w:rPr>
                <w:rFonts w:asciiTheme="minorHAnsi" w:eastAsia="Times New Roman" w:hAnsiTheme="minorHAnsi" w:cstheme="minorHAnsi"/>
                <w:b/>
                <w:bCs/>
                <w:color w:val="000000"/>
                <w:sz w:val="16"/>
                <w:szCs w:val="16"/>
                <w:lang w:eastAsia="es-MX"/>
              </w:rPr>
              <w:t>Integración</w:t>
            </w:r>
          </w:p>
        </w:tc>
        <w:tc>
          <w:tcPr>
            <w:tcW w:w="0" w:type="auto"/>
            <w:gridSpan w:val="7"/>
            <w:tcBorders>
              <w:top w:val="nil"/>
              <w:left w:val="nil"/>
              <w:bottom w:val="nil"/>
              <w:right w:val="nil"/>
            </w:tcBorders>
            <w:noWrap/>
            <w:vAlign w:val="center"/>
            <w:hideMark/>
          </w:tcPr>
          <w:p w14:paraId="1F9F98B6" w14:textId="77777777" w:rsidR="00603217" w:rsidRPr="002150BE" w:rsidRDefault="00603217" w:rsidP="00603217">
            <w:pPr>
              <w:spacing w:after="0" w:line="240" w:lineRule="auto"/>
              <w:jc w:val="center"/>
              <w:rPr>
                <w:rFonts w:asciiTheme="minorHAnsi" w:eastAsia="Times New Roman" w:hAnsiTheme="minorHAnsi" w:cstheme="minorHAnsi"/>
                <w:b/>
                <w:bCs/>
                <w:color w:val="000000"/>
                <w:sz w:val="16"/>
                <w:szCs w:val="16"/>
                <w:lang w:eastAsia="es-MX"/>
              </w:rPr>
            </w:pPr>
            <w:r w:rsidRPr="002150BE">
              <w:rPr>
                <w:rFonts w:asciiTheme="minorHAnsi" w:eastAsia="Times New Roman" w:hAnsiTheme="minorHAnsi" w:cstheme="minorHAnsi"/>
                <w:b/>
                <w:bCs/>
                <w:color w:val="000000"/>
                <w:sz w:val="16"/>
                <w:szCs w:val="16"/>
                <w:lang w:eastAsia="es-MX"/>
              </w:rPr>
              <w:t>Actualización</w:t>
            </w:r>
          </w:p>
        </w:tc>
        <w:tc>
          <w:tcPr>
            <w:tcW w:w="0" w:type="auto"/>
            <w:gridSpan w:val="10"/>
            <w:tcBorders>
              <w:top w:val="nil"/>
              <w:left w:val="nil"/>
              <w:bottom w:val="nil"/>
              <w:right w:val="single" w:sz="4" w:space="0" w:color="BFBFBF" w:themeColor="background1" w:themeShade="BF"/>
            </w:tcBorders>
            <w:noWrap/>
            <w:vAlign w:val="center"/>
            <w:hideMark/>
          </w:tcPr>
          <w:p w14:paraId="48B243E0" w14:textId="77777777" w:rsidR="00603217" w:rsidRPr="002150BE" w:rsidRDefault="00603217" w:rsidP="00603217">
            <w:pPr>
              <w:spacing w:after="0" w:line="240" w:lineRule="auto"/>
              <w:jc w:val="center"/>
              <w:rPr>
                <w:rFonts w:asciiTheme="minorHAnsi" w:eastAsia="Times New Roman" w:hAnsiTheme="minorHAnsi" w:cstheme="minorHAnsi"/>
                <w:b/>
                <w:bCs/>
                <w:color w:val="000000"/>
                <w:sz w:val="16"/>
                <w:szCs w:val="16"/>
                <w:lang w:eastAsia="es-MX"/>
              </w:rPr>
            </w:pPr>
            <w:r w:rsidRPr="002150BE">
              <w:rPr>
                <w:rFonts w:asciiTheme="minorHAnsi" w:eastAsia="Times New Roman" w:hAnsiTheme="minorHAnsi" w:cstheme="minorHAnsi"/>
                <w:b/>
                <w:bCs/>
                <w:color w:val="000000"/>
                <w:sz w:val="16"/>
                <w:szCs w:val="16"/>
                <w:lang w:eastAsia="es-MX"/>
              </w:rPr>
              <w:t>Depuración</w:t>
            </w:r>
          </w:p>
        </w:tc>
      </w:tr>
      <w:tr w:rsidR="00BC7761" w:rsidRPr="002150BE" w14:paraId="4EAE700C" w14:textId="77777777" w:rsidTr="00BC7761">
        <w:trPr>
          <w:trHeight w:val="280"/>
        </w:trPr>
        <w:tc>
          <w:tcPr>
            <w:tcW w:w="0" w:type="auto"/>
            <w:tcBorders>
              <w:top w:val="nil"/>
              <w:left w:val="single" w:sz="4" w:space="0" w:color="BFBFBF" w:themeColor="background1" w:themeShade="BF"/>
              <w:bottom w:val="nil"/>
              <w:right w:val="nil"/>
            </w:tcBorders>
            <w:noWrap/>
            <w:vAlign w:val="center"/>
            <w:hideMark/>
          </w:tcPr>
          <w:p w14:paraId="0BDFA28B"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c>
          <w:tcPr>
            <w:tcW w:w="0" w:type="auto"/>
            <w:tcBorders>
              <w:top w:val="single" w:sz="4" w:space="0" w:color="595959"/>
              <w:left w:val="single" w:sz="4" w:space="0" w:color="595959"/>
              <w:bottom w:val="single" w:sz="4" w:space="0" w:color="595959"/>
              <w:right w:val="single" w:sz="4" w:space="0" w:color="595959"/>
            </w:tcBorders>
            <w:noWrap/>
            <w:vAlign w:val="center"/>
            <w:hideMark/>
          </w:tcPr>
          <w:p w14:paraId="1D6B651F" w14:textId="77777777" w:rsidR="00603217" w:rsidRPr="002150BE" w:rsidRDefault="002D2C4C" w:rsidP="00BC7761">
            <w:pPr>
              <w:spacing w:after="0" w:line="240" w:lineRule="auto"/>
              <w:jc w:val="center"/>
              <w:rPr>
                <w:rFonts w:asciiTheme="minorHAnsi" w:eastAsia="Times New Roman" w:hAnsiTheme="minorHAnsi" w:cstheme="minorHAnsi"/>
                <w:b/>
                <w:bCs/>
                <w:color w:val="000000"/>
                <w:sz w:val="16"/>
                <w:szCs w:val="16"/>
                <w:lang w:eastAsia="es-MX"/>
              </w:rPr>
            </w:pPr>
            <w:r w:rsidRPr="002150BE">
              <w:rPr>
                <w:rFonts w:asciiTheme="minorHAnsi" w:eastAsia="Times New Roman" w:hAnsiTheme="minorHAnsi" w:cstheme="minorHAnsi"/>
                <w:b/>
                <w:bCs/>
                <w:color w:val="000000"/>
                <w:sz w:val="16"/>
                <w:szCs w:val="16"/>
                <w:lang w:eastAsia="es-MX"/>
              </w:rPr>
              <w:t>X</w:t>
            </w:r>
          </w:p>
        </w:tc>
        <w:tc>
          <w:tcPr>
            <w:tcW w:w="0" w:type="auto"/>
            <w:gridSpan w:val="8"/>
            <w:vMerge w:val="restart"/>
            <w:tcBorders>
              <w:top w:val="nil"/>
              <w:left w:val="nil"/>
              <w:bottom w:val="nil"/>
              <w:right w:val="nil"/>
            </w:tcBorders>
            <w:vAlign w:val="center"/>
            <w:hideMark/>
          </w:tcPr>
          <w:p w14:paraId="3C1319B3"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Establece una estructura homologada de la información.</w:t>
            </w:r>
          </w:p>
        </w:tc>
        <w:tc>
          <w:tcPr>
            <w:tcW w:w="0" w:type="auto"/>
            <w:gridSpan w:val="2"/>
            <w:tcBorders>
              <w:top w:val="single" w:sz="4" w:space="0" w:color="595959"/>
              <w:left w:val="single" w:sz="4" w:space="0" w:color="595959"/>
              <w:bottom w:val="single" w:sz="4" w:space="0" w:color="595959"/>
              <w:right w:val="single" w:sz="4" w:space="0" w:color="595959"/>
            </w:tcBorders>
            <w:noWrap/>
            <w:vAlign w:val="center"/>
            <w:hideMark/>
          </w:tcPr>
          <w:p w14:paraId="43CDADC9" w14:textId="77777777" w:rsidR="00603217" w:rsidRPr="002150BE" w:rsidRDefault="002D2C4C" w:rsidP="00BC7761">
            <w:pPr>
              <w:spacing w:after="0" w:line="240" w:lineRule="auto"/>
              <w:jc w:val="center"/>
              <w:rPr>
                <w:rFonts w:asciiTheme="minorHAnsi" w:eastAsia="Times New Roman" w:hAnsiTheme="minorHAnsi" w:cstheme="minorHAnsi"/>
                <w:b/>
                <w:bCs/>
                <w:color w:val="000000"/>
                <w:sz w:val="16"/>
                <w:szCs w:val="16"/>
                <w:lang w:eastAsia="es-MX"/>
              </w:rPr>
            </w:pPr>
            <w:r w:rsidRPr="002150BE">
              <w:rPr>
                <w:rFonts w:asciiTheme="minorHAnsi" w:eastAsia="Times New Roman" w:hAnsiTheme="minorHAnsi" w:cstheme="minorHAnsi"/>
                <w:b/>
                <w:bCs/>
                <w:color w:val="000000"/>
                <w:sz w:val="16"/>
                <w:szCs w:val="16"/>
                <w:lang w:eastAsia="es-MX"/>
              </w:rPr>
              <w:t>X</w:t>
            </w:r>
          </w:p>
        </w:tc>
        <w:tc>
          <w:tcPr>
            <w:tcW w:w="0" w:type="auto"/>
            <w:gridSpan w:val="5"/>
            <w:vMerge w:val="restart"/>
            <w:tcBorders>
              <w:top w:val="nil"/>
              <w:left w:val="nil"/>
              <w:bottom w:val="nil"/>
              <w:right w:val="nil"/>
            </w:tcBorders>
            <w:vAlign w:val="center"/>
            <w:hideMark/>
          </w:tcPr>
          <w:p w14:paraId="4490D5FB"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Establece un periodo de actualización del padrón.</w:t>
            </w:r>
          </w:p>
        </w:tc>
        <w:tc>
          <w:tcPr>
            <w:tcW w:w="0" w:type="auto"/>
            <w:gridSpan w:val="2"/>
            <w:tcBorders>
              <w:top w:val="single" w:sz="4" w:space="0" w:color="595959"/>
              <w:left w:val="single" w:sz="4" w:space="0" w:color="595959"/>
              <w:bottom w:val="single" w:sz="4" w:space="0" w:color="595959"/>
              <w:right w:val="single" w:sz="4" w:space="0" w:color="595959"/>
            </w:tcBorders>
            <w:noWrap/>
            <w:vAlign w:val="center"/>
            <w:hideMark/>
          </w:tcPr>
          <w:p w14:paraId="036DCF7C" w14:textId="77777777" w:rsidR="00603217" w:rsidRPr="002150BE" w:rsidRDefault="002D2C4C" w:rsidP="00BC7761">
            <w:pPr>
              <w:spacing w:after="0" w:line="240" w:lineRule="auto"/>
              <w:jc w:val="center"/>
              <w:rPr>
                <w:rFonts w:asciiTheme="minorHAnsi" w:eastAsia="Times New Roman" w:hAnsiTheme="minorHAnsi" w:cstheme="minorHAnsi"/>
                <w:b/>
                <w:bCs/>
                <w:color w:val="000000"/>
                <w:sz w:val="16"/>
                <w:szCs w:val="16"/>
                <w:lang w:eastAsia="es-MX"/>
              </w:rPr>
            </w:pPr>
            <w:r w:rsidRPr="002150BE">
              <w:rPr>
                <w:rFonts w:asciiTheme="minorHAnsi" w:eastAsia="Times New Roman" w:hAnsiTheme="minorHAnsi" w:cstheme="minorHAnsi"/>
                <w:b/>
                <w:bCs/>
                <w:color w:val="000000"/>
                <w:sz w:val="16"/>
                <w:szCs w:val="16"/>
                <w:lang w:eastAsia="es-MX"/>
              </w:rPr>
              <w:t>X</w:t>
            </w:r>
          </w:p>
        </w:tc>
        <w:tc>
          <w:tcPr>
            <w:tcW w:w="0" w:type="auto"/>
            <w:gridSpan w:val="8"/>
            <w:vMerge w:val="restart"/>
            <w:tcBorders>
              <w:top w:val="nil"/>
              <w:left w:val="nil"/>
              <w:bottom w:val="nil"/>
              <w:right w:val="single" w:sz="4" w:space="0" w:color="BFBFBF" w:themeColor="background1" w:themeShade="BF"/>
            </w:tcBorders>
            <w:vAlign w:val="center"/>
            <w:hideMark/>
          </w:tcPr>
          <w:p w14:paraId="26BD7E99"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Establece un mecanismo para detectar inconsistencias y homologar información.</w:t>
            </w:r>
          </w:p>
        </w:tc>
      </w:tr>
      <w:tr w:rsidR="00F323B5" w:rsidRPr="002150BE" w14:paraId="7DFDC860" w14:textId="77777777" w:rsidTr="002D2C4C">
        <w:trPr>
          <w:trHeight w:val="224"/>
        </w:trPr>
        <w:tc>
          <w:tcPr>
            <w:tcW w:w="0" w:type="auto"/>
            <w:tcBorders>
              <w:top w:val="nil"/>
              <w:left w:val="single" w:sz="4" w:space="0" w:color="BFBFBF" w:themeColor="background1" w:themeShade="BF"/>
              <w:bottom w:val="nil"/>
              <w:right w:val="nil"/>
            </w:tcBorders>
            <w:noWrap/>
            <w:vAlign w:val="center"/>
            <w:hideMark/>
          </w:tcPr>
          <w:p w14:paraId="150D6C9B"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c>
          <w:tcPr>
            <w:tcW w:w="0" w:type="auto"/>
            <w:tcBorders>
              <w:top w:val="nil"/>
              <w:left w:val="nil"/>
              <w:bottom w:val="nil"/>
              <w:right w:val="nil"/>
            </w:tcBorders>
            <w:noWrap/>
            <w:vAlign w:val="center"/>
            <w:hideMark/>
          </w:tcPr>
          <w:p w14:paraId="3F0C2D88"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p>
        </w:tc>
        <w:tc>
          <w:tcPr>
            <w:tcW w:w="0" w:type="auto"/>
            <w:gridSpan w:val="8"/>
            <w:vMerge/>
            <w:tcBorders>
              <w:top w:val="nil"/>
              <w:left w:val="nil"/>
              <w:bottom w:val="nil"/>
              <w:right w:val="nil"/>
            </w:tcBorders>
            <w:vAlign w:val="center"/>
            <w:hideMark/>
          </w:tcPr>
          <w:p w14:paraId="513B8F39"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p>
        </w:tc>
        <w:tc>
          <w:tcPr>
            <w:tcW w:w="0" w:type="auto"/>
            <w:gridSpan w:val="2"/>
            <w:tcBorders>
              <w:top w:val="nil"/>
              <w:left w:val="nil"/>
              <w:bottom w:val="nil"/>
              <w:right w:val="nil"/>
            </w:tcBorders>
            <w:vAlign w:val="center"/>
            <w:hideMark/>
          </w:tcPr>
          <w:p w14:paraId="74F26F38"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5"/>
            <w:vMerge/>
            <w:tcBorders>
              <w:top w:val="nil"/>
              <w:left w:val="nil"/>
              <w:bottom w:val="nil"/>
              <w:right w:val="nil"/>
            </w:tcBorders>
            <w:vAlign w:val="center"/>
            <w:hideMark/>
          </w:tcPr>
          <w:p w14:paraId="13A1BEAB"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p>
        </w:tc>
        <w:tc>
          <w:tcPr>
            <w:tcW w:w="0" w:type="auto"/>
            <w:gridSpan w:val="2"/>
            <w:tcBorders>
              <w:top w:val="nil"/>
              <w:left w:val="nil"/>
              <w:bottom w:val="nil"/>
              <w:right w:val="nil"/>
            </w:tcBorders>
            <w:noWrap/>
            <w:vAlign w:val="center"/>
            <w:hideMark/>
          </w:tcPr>
          <w:p w14:paraId="3F1C5B65"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8"/>
            <w:vMerge/>
            <w:tcBorders>
              <w:top w:val="nil"/>
              <w:left w:val="nil"/>
              <w:bottom w:val="nil"/>
              <w:right w:val="single" w:sz="4" w:space="0" w:color="BFBFBF" w:themeColor="background1" w:themeShade="BF"/>
            </w:tcBorders>
            <w:vAlign w:val="center"/>
            <w:hideMark/>
          </w:tcPr>
          <w:p w14:paraId="3DEB1127"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p>
        </w:tc>
      </w:tr>
      <w:tr w:rsidR="00F323B5" w:rsidRPr="002150BE" w14:paraId="66F89DBD" w14:textId="77777777" w:rsidTr="002D2C4C">
        <w:trPr>
          <w:trHeight w:val="280"/>
        </w:trPr>
        <w:tc>
          <w:tcPr>
            <w:tcW w:w="0" w:type="auto"/>
            <w:tcBorders>
              <w:top w:val="nil"/>
              <w:left w:val="single" w:sz="4" w:space="0" w:color="BFBFBF" w:themeColor="background1" w:themeShade="BF"/>
              <w:bottom w:val="nil"/>
              <w:right w:val="nil"/>
            </w:tcBorders>
            <w:noWrap/>
            <w:vAlign w:val="center"/>
            <w:hideMark/>
          </w:tcPr>
          <w:p w14:paraId="0BFD0875" w14:textId="77777777" w:rsidR="00603217" w:rsidRPr="002150BE" w:rsidRDefault="00603217" w:rsidP="00BC7761">
            <w:pPr>
              <w:spacing w:after="0" w:line="240" w:lineRule="auto"/>
              <w:jc w:val="center"/>
              <w:rPr>
                <w:rFonts w:asciiTheme="minorHAnsi" w:eastAsia="Times New Roman" w:hAnsiTheme="minorHAnsi" w:cstheme="minorHAnsi"/>
                <w:b/>
                <w:bCs/>
                <w:color w:val="000000"/>
                <w:sz w:val="16"/>
                <w:szCs w:val="16"/>
                <w:lang w:eastAsia="es-MX"/>
              </w:rPr>
            </w:pPr>
          </w:p>
        </w:tc>
        <w:tc>
          <w:tcPr>
            <w:tcW w:w="0" w:type="auto"/>
            <w:tcBorders>
              <w:top w:val="single" w:sz="4" w:space="0" w:color="595959"/>
              <w:left w:val="single" w:sz="4" w:space="0" w:color="595959"/>
              <w:bottom w:val="single" w:sz="4" w:space="0" w:color="595959"/>
              <w:right w:val="single" w:sz="4" w:space="0" w:color="595959"/>
            </w:tcBorders>
            <w:noWrap/>
            <w:vAlign w:val="center"/>
            <w:hideMark/>
          </w:tcPr>
          <w:p w14:paraId="053A3478" w14:textId="77777777" w:rsidR="00603217" w:rsidRPr="002150BE" w:rsidRDefault="002D2C4C" w:rsidP="00BC7761">
            <w:pPr>
              <w:spacing w:after="0" w:line="240" w:lineRule="auto"/>
              <w:jc w:val="center"/>
              <w:rPr>
                <w:rFonts w:asciiTheme="minorHAnsi" w:eastAsia="Times New Roman" w:hAnsiTheme="minorHAnsi" w:cstheme="minorHAnsi"/>
                <w:b/>
                <w:bCs/>
                <w:color w:val="000000"/>
                <w:sz w:val="16"/>
                <w:szCs w:val="16"/>
                <w:lang w:eastAsia="es-MX"/>
              </w:rPr>
            </w:pPr>
            <w:r w:rsidRPr="002150BE">
              <w:rPr>
                <w:rFonts w:asciiTheme="minorHAnsi" w:eastAsia="Times New Roman" w:hAnsiTheme="minorHAnsi" w:cstheme="minorHAnsi"/>
                <w:b/>
                <w:bCs/>
                <w:color w:val="000000"/>
                <w:sz w:val="16"/>
                <w:szCs w:val="16"/>
                <w:lang w:eastAsia="es-MX"/>
              </w:rPr>
              <w:t>X</w:t>
            </w:r>
          </w:p>
        </w:tc>
        <w:tc>
          <w:tcPr>
            <w:tcW w:w="0" w:type="auto"/>
            <w:gridSpan w:val="8"/>
            <w:vMerge w:val="restart"/>
            <w:tcBorders>
              <w:top w:val="nil"/>
              <w:left w:val="nil"/>
              <w:bottom w:val="nil"/>
              <w:right w:val="nil"/>
            </w:tcBorders>
            <w:vAlign w:val="center"/>
            <w:hideMark/>
          </w:tcPr>
          <w:p w14:paraId="24FB8968"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xml:space="preserve">Incluye las principales características de la población atendida y de los bienes y/o servicios otorgados </w:t>
            </w:r>
          </w:p>
        </w:tc>
        <w:tc>
          <w:tcPr>
            <w:tcW w:w="0" w:type="auto"/>
            <w:gridSpan w:val="2"/>
            <w:tcBorders>
              <w:top w:val="nil"/>
              <w:left w:val="nil"/>
              <w:bottom w:val="nil"/>
              <w:right w:val="nil"/>
            </w:tcBorders>
            <w:noWrap/>
            <w:vAlign w:val="center"/>
            <w:hideMark/>
          </w:tcPr>
          <w:p w14:paraId="60D31BE4"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p>
        </w:tc>
        <w:tc>
          <w:tcPr>
            <w:tcW w:w="0" w:type="auto"/>
            <w:gridSpan w:val="5"/>
            <w:vMerge w:val="restart"/>
            <w:tcBorders>
              <w:top w:val="nil"/>
              <w:left w:val="nil"/>
              <w:bottom w:val="nil"/>
              <w:right w:val="nil"/>
            </w:tcBorders>
            <w:vAlign w:val="center"/>
            <w:hideMark/>
          </w:tcPr>
          <w:p w14:paraId="1DE1F41D"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b/>
                <w:bCs/>
                <w:i/>
                <w:iCs/>
                <w:color w:val="000000"/>
                <w:sz w:val="16"/>
                <w:szCs w:val="16"/>
                <w:lang w:eastAsia="es-MX"/>
              </w:rPr>
              <w:t>Indique el periodo de actualización establecido:</w:t>
            </w:r>
            <w:r w:rsidR="00BC7761" w:rsidRPr="002150BE">
              <w:rPr>
                <w:rFonts w:asciiTheme="minorHAnsi" w:eastAsia="Times New Roman" w:hAnsiTheme="minorHAnsi" w:cstheme="minorHAnsi"/>
                <w:b/>
                <w:bCs/>
                <w:i/>
                <w:iCs/>
                <w:color w:val="000000"/>
                <w:sz w:val="16"/>
                <w:szCs w:val="16"/>
                <w:lang w:eastAsia="es-MX"/>
              </w:rPr>
              <w:t xml:space="preserve"> </w:t>
            </w:r>
            <w:r w:rsidR="00BC7761" w:rsidRPr="002150BE">
              <w:rPr>
                <w:rFonts w:asciiTheme="minorHAnsi" w:eastAsia="Times New Roman" w:hAnsiTheme="minorHAnsi" w:cstheme="minorHAnsi"/>
                <w:color w:val="000000"/>
                <w:sz w:val="16"/>
                <w:szCs w:val="16"/>
                <w:lang w:eastAsia="es-MX"/>
              </w:rPr>
              <w:t>cortes cuatrimestrales de matrícula y un corte anual</w:t>
            </w:r>
          </w:p>
        </w:tc>
        <w:tc>
          <w:tcPr>
            <w:tcW w:w="0" w:type="auto"/>
            <w:gridSpan w:val="2"/>
            <w:tcBorders>
              <w:top w:val="nil"/>
              <w:left w:val="nil"/>
              <w:bottom w:val="nil"/>
              <w:right w:val="nil"/>
            </w:tcBorders>
            <w:noWrap/>
            <w:vAlign w:val="center"/>
            <w:hideMark/>
          </w:tcPr>
          <w:p w14:paraId="005EC0CD" w14:textId="77777777" w:rsidR="00603217" w:rsidRPr="002150BE" w:rsidRDefault="00603217" w:rsidP="00603217">
            <w:pPr>
              <w:spacing w:after="0" w:line="240" w:lineRule="auto"/>
              <w:rPr>
                <w:rFonts w:asciiTheme="minorHAnsi" w:eastAsia="Times New Roman" w:hAnsiTheme="minorHAnsi" w:cstheme="minorHAnsi"/>
                <w:b/>
                <w:bCs/>
                <w:i/>
                <w:iCs/>
                <w:color w:val="000000"/>
                <w:sz w:val="16"/>
                <w:szCs w:val="16"/>
                <w:lang w:eastAsia="es-MX"/>
              </w:rPr>
            </w:pPr>
          </w:p>
        </w:tc>
        <w:tc>
          <w:tcPr>
            <w:tcW w:w="0" w:type="auto"/>
            <w:gridSpan w:val="8"/>
            <w:vMerge/>
            <w:tcBorders>
              <w:top w:val="nil"/>
              <w:left w:val="nil"/>
              <w:bottom w:val="nil"/>
              <w:right w:val="single" w:sz="4" w:space="0" w:color="BFBFBF" w:themeColor="background1" w:themeShade="BF"/>
            </w:tcBorders>
            <w:vAlign w:val="center"/>
            <w:hideMark/>
          </w:tcPr>
          <w:p w14:paraId="4E1717CB"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p>
        </w:tc>
      </w:tr>
      <w:tr w:rsidR="00BC7761" w:rsidRPr="002150BE" w14:paraId="6C6A2A95" w14:textId="77777777" w:rsidTr="00BC7761">
        <w:trPr>
          <w:trHeight w:val="565"/>
        </w:trPr>
        <w:tc>
          <w:tcPr>
            <w:tcW w:w="0" w:type="auto"/>
            <w:tcBorders>
              <w:top w:val="nil"/>
              <w:left w:val="single" w:sz="4" w:space="0" w:color="BFBFBF" w:themeColor="background1" w:themeShade="BF"/>
              <w:bottom w:val="nil"/>
              <w:right w:val="nil"/>
            </w:tcBorders>
            <w:noWrap/>
            <w:vAlign w:val="center"/>
            <w:hideMark/>
          </w:tcPr>
          <w:p w14:paraId="6AC83F76"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c>
          <w:tcPr>
            <w:tcW w:w="0" w:type="auto"/>
            <w:tcBorders>
              <w:top w:val="nil"/>
              <w:left w:val="nil"/>
              <w:bottom w:val="nil"/>
              <w:right w:val="nil"/>
            </w:tcBorders>
            <w:noWrap/>
            <w:vAlign w:val="center"/>
            <w:hideMark/>
          </w:tcPr>
          <w:p w14:paraId="1F378FF9"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p>
        </w:tc>
        <w:tc>
          <w:tcPr>
            <w:tcW w:w="0" w:type="auto"/>
            <w:gridSpan w:val="8"/>
            <w:vMerge/>
            <w:tcBorders>
              <w:top w:val="nil"/>
              <w:left w:val="nil"/>
              <w:bottom w:val="nil"/>
              <w:right w:val="nil"/>
            </w:tcBorders>
            <w:vAlign w:val="center"/>
            <w:hideMark/>
          </w:tcPr>
          <w:p w14:paraId="319B11E8"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p>
        </w:tc>
        <w:tc>
          <w:tcPr>
            <w:tcW w:w="0" w:type="auto"/>
            <w:gridSpan w:val="2"/>
            <w:tcBorders>
              <w:top w:val="nil"/>
              <w:left w:val="nil"/>
              <w:bottom w:val="nil"/>
              <w:right w:val="nil"/>
            </w:tcBorders>
            <w:vAlign w:val="center"/>
            <w:hideMark/>
          </w:tcPr>
          <w:p w14:paraId="250AD1F1"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5"/>
            <w:vMerge/>
            <w:tcBorders>
              <w:top w:val="nil"/>
              <w:left w:val="nil"/>
              <w:bottom w:val="nil"/>
              <w:right w:val="nil"/>
            </w:tcBorders>
            <w:vAlign w:val="center"/>
            <w:hideMark/>
          </w:tcPr>
          <w:p w14:paraId="2B24CA2B" w14:textId="77777777" w:rsidR="00603217" w:rsidRPr="002150BE" w:rsidRDefault="00603217" w:rsidP="00603217">
            <w:pPr>
              <w:spacing w:after="0" w:line="240" w:lineRule="auto"/>
              <w:rPr>
                <w:rFonts w:asciiTheme="minorHAnsi" w:eastAsia="Times New Roman" w:hAnsiTheme="minorHAnsi" w:cstheme="minorHAnsi"/>
                <w:b/>
                <w:bCs/>
                <w:i/>
                <w:iCs/>
                <w:color w:val="000000"/>
                <w:sz w:val="16"/>
                <w:szCs w:val="16"/>
                <w:lang w:eastAsia="es-MX"/>
              </w:rPr>
            </w:pPr>
          </w:p>
        </w:tc>
        <w:tc>
          <w:tcPr>
            <w:tcW w:w="0" w:type="auto"/>
            <w:gridSpan w:val="2"/>
            <w:tcBorders>
              <w:top w:val="single" w:sz="4" w:space="0" w:color="595959"/>
              <w:left w:val="single" w:sz="4" w:space="0" w:color="595959"/>
              <w:bottom w:val="single" w:sz="4" w:space="0" w:color="595959"/>
              <w:right w:val="single" w:sz="4" w:space="0" w:color="595959"/>
            </w:tcBorders>
            <w:noWrap/>
            <w:vAlign w:val="center"/>
            <w:hideMark/>
          </w:tcPr>
          <w:p w14:paraId="3D6C8F44" w14:textId="77777777" w:rsidR="00603217" w:rsidRPr="002150BE" w:rsidRDefault="002D2C4C" w:rsidP="00BC7761">
            <w:pPr>
              <w:spacing w:after="0" w:line="240" w:lineRule="auto"/>
              <w:jc w:val="center"/>
              <w:rPr>
                <w:rFonts w:asciiTheme="minorHAnsi" w:eastAsia="Times New Roman" w:hAnsiTheme="minorHAnsi" w:cstheme="minorHAnsi"/>
                <w:b/>
                <w:bCs/>
                <w:color w:val="000000"/>
                <w:sz w:val="16"/>
                <w:szCs w:val="16"/>
                <w:lang w:eastAsia="es-MX"/>
              </w:rPr>
            </w:pPr>
            <w:r w:rsidRPr="002150BE">
              <w:rPr>
                <w:rFonts w:asciiTheme="minorHAnsi" w:eastAsia="Times New Roman" w:hAnsiTheme="minorHAnsi" w:cstheme="minorHAnsi"/>
                <w:b/>
                <w:bCs/>
                <w:color w:val="000000"/>
                <w:sz w:val="16"/>
                <w:szCs w:val="16"/>
                <w:lang w:eastAsia="es-MX"/>
              </w:rPr>
              <w:t>X</w:t>
            </w:r>
          </w:p>
        </w:tc>
        <w:tc>
          <w:tcPr>
            <w:tcW w:w="0" w:type="auto"/>
            <w:gridSpan w:val="8"/>
            <w:tcBorders>
              <w:top w:val="nil"/>
              <w:left w:val="nil"/>
              <w:bottom w:val="nil"/>
              <w:right w:val="single" w:sz="4" w:space="0" w:color="BFBFBF" w:themeColor="background1" w:themeShade="BF"/>
            </w:tcBorders>
            <w:vAlign w:val="center"/>
            <w:hideMark/>
          </w:tcPr>
          <w:p w14:paraId="08C0EDA9"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Establece un mecanismo para detectar duplicidades de apoyos otorgados por el mismo Pp o por otros programas.</w:t>
            </w:r>
          </w:p>
        </w:tc>
      </w:tr>
      <w:tr w:rsidR="00BC7761" w:rsidRPr="002150BE" w14:paraId="672908D6" w14:textId="77777777" w:rsidTr="002D2C4C">
        <w:trPr>
          <w:trHeight w:val="266"/>
        </w:trPr>
        <w:tc>
          <w:tcPr>
            <w:tcW w:w="0" w:type="auto"/>
            <w:tcBorders>
              <w:top w:val="nil"/>
              <w:left w:val="single" w:sz="4" w:space="0" w:color="BFBFBF" w:themeColor="background1" w:themeShade="BF"/>
              <w:bottom w:val="nil"/>
              <w:right w:val="nil"/>
            </w:tcBorders>
            <w:noWrap/>
            <w:vAlign w:val="center"/>
            <w:hideMark/>
          </w:tcPr>
          <w:p w14:paraId="3FF08D31"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c>
          <w:tcPr>
            <w:tcW w:w="0" w:type="auto"/>
            <w:tcBorders>
              <w:top w:val="single" w:sz="4" w:space="0" w:color="595959"/>
              <w:left w:val="single" w:sz="4" w:space="0" w:color="595959"/>
              <w:bottom w:val="single" w:sz="4" w:space="0" w:color="595959"/>
              <w:right w:val="single" w:sz="4" w:space="0" w:color="595959"/>
            </w:tcBorders>
            <w:noWrap/>
            <w:vAlign w:val="center"/>
            <w:hideMark/>
          </w:tcPr>
          <w:p w14:paraId="0A655C68" w14:textId="77777777" w:rsidR="00603217" w:rsidRPr="002150BE" w:rsidRDefault="002D2C4C" w:rsidP="00BC7761">
            <w:pPr>
              <w:spacing w:after="0" w:line="240" w:lineRule="auto"/>
              <w:jc w:val="center"/>
              <w:rPr>
                <w:rFonts w:asciiTheme="minorHAnsi" w:eastAsia="Times New Roman" w:hAnsiTheme="minorHAnsi" w:cstheme="minorHAnsi"/>
                <w:b/>
                <w:bCs/>
                <w:color w:val="000000"/>
                <w:sz w:val="16"/>
                <w:szCs w:val="16"/>
                <w:lang w:eastAsia="es-MX"/>
              </w:rPr>
            </w:pPr>
            <w:r w:rsidRPr="002150BE">
              <w:rPr>
                <w:rFonts w:asciiTheme="minorHAnsi" w:eastAsia="Times New Roman" w:hAnsiTheme="minorHAnsi" w:cstheme="minorHAnsi"/>
                <w:b/>
                <w:bCs/>
                <w:color w:val="000000"/>
                <w:sz w:val="16"/>
                <w:szCs w:val="16"/>
                <w:lang w:eastAsia="es-MX"/>
              </w:rPr>
              <w:t>X</w:t>
            </w:r>
          </w:p>
        </w:tc>
        <w:tc>
          <w:tcPr>
            <w:tcW w:w="0" w:type="auto"/>
            <w:gridSpan w:val="8"/>
            <w:vMerge w:val="restart"/>
            <w:tcBorders>
              <w:top w:val="nil"/>
              <w:left w:val="nil"/>
              <w:bottom w:val="nil"/>
              <w:right w:val="nil"/>
            </w:tcBorders>
            <w:vAlign w:val="center"/>
            <w:hideMark/>
          </w:tcPr>
          <w:p w14:paraId="6D96BFD2"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Se asigna una clave o identificador único que permita dar seguimiento a población atendida en el tiempo.</w:t>
            </w:r>
          </w:p>
        </w:tc>
        <w:tc>
          <w:tcPr>
            <w:tcW w:w="0" w:type="auto"/>
            <w:gridSpan w:val="2"/>
            <w:tcBorders>
              <w:top w:val="nil"/>
              <w:left w:val="nil"/>
              <w:bottom w:val="nil"/>
              <w:right w:val="nil"/>
            </w:tcBorders>
            <w:noWrap/>
            <w:vAlign w:val="center"/>
            <w:hideMark/>
          </w:tcPr>
          <w:p w14:paraId="4B49C46A"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p>
        </w:tc>
        <w:tc>
          <w:tcPr>
            <w:tcW w:w="0" w:type="auto"/>
            <w:gridSpan w:val="7"/>
            <w:vMerge w:val="restart"/>
            <w:tcBorders>
              <w:top w:val="nil"/>
              <w:left w:val="nil"/>
              <w:bottom w:val="nil"/>
              <w:right w:val="nil"/>
            </w:tcBorders>
            <w:vAlign w:val="center"/>
            <w:hideMark/>
          </w:tcPr>
          <w:p w14:paraId="6800EA5A"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p>
        </w:tc>
        <w:tc>
          <w:tcPr>
            <w:tcW w:w="0" w:type="auto"/>
            <w:gridSpan w:val="2"/>
            <w:tcBorders>
              <w:top w:val="nil"/>
              <w:left w:val="nil"/>
              <w:bottom w:val="nil"/>
              <w:right w:val="nil"/>
            </w:tcBorders>
            <w:vAlign w:val="center"/>
            <w:hideMark/>
          </w:tcPr>
          <w:p w14:paraId="062B625B"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nil"/>
              <w:left w:val="nil"/>
              <w:bottom w:val="nil"/>
              <w:right w:val="nil"/>
            </w:tcBorders>
            <w:noWrap/>
            <w:vAlign w:val="center"/>
            <w:hideMark/>
          </w:tcPr>
          <w:p w14:paraId="4968E080"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5"/>
            <w:tcBorders>
              <w:top w:val="nil"/>
              <w:left w:val="nil"/>
              <w:bottom w:val="nil"/>
              <w:right w:val="single" w:sz="4" w:space="0" w:color="BFBFBF" w:themeColor="background1" w:themeShade="BF"/>
            </w:tcBorders>
            <w:vAlign w:val="center"/>
            <w:hideMark/>
          </w:tcPr>
          <w:p w14:paraId="5779651E"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p>
        </w:tc>
      </w:tr>
      <w:tr w:rsidR="00F323B5" w:rsidRPr="002150BE" w14:paraId="1C8DA2DD" w14:textId="77777777" w:rsidTr="002D2C4C">
        <w:trPr>
          <w:trHeight w:val="353"/>
        </w:trPr>
        <w:tc>
          <w:tcPr>
            <w:tcW w:w="0" w:type="auto"/>
            <w:tcBorders>
              <w:top w:val="nil"/>
              <w:left w:val="single" w:sz="4" w:space="0" w:color="BFBFBF" w:themeColor="background1" w:themeShade="BF"/>
              <w:bottom w:val="nil"/>
              <w:right w:val="nil"/>
            </w:tcBorders>
            <w:noWrap/>
            <w:vAlign w:val="center"/>
            <w:hideMark/>
          </w:tcPr>
          <w:p w14:paraId="2C44EAE3"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c>
          <w:tcPr>
            <w:tcW w:w="0" w:type="auto"/>
            <w:tcBorders>
              <w:top w:val="nil"/>
              <w:left w:val="nil"/>
              <w:bottom w:val="nil"/>
              <w:right w:val="nil"/>
            </w:tcBorders>
            <w:noWrap/>
            <w:vAlign w:val="center"/>
            <w:hideMark/>
          </w:tcPr>
          <w:p w14:paraId="6AF3C494"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p>
        </w:tc>
        <w:tc>
          <w:tcPr>
            <w:tcW w:w="0" w:type="auto"/>
            <w:gridSpan w:val="8"/>
            <w:vMerge/>
            <w:tcBorders>
              <w:top w:val="nil"/>
              <w:left w:val="nil"/>
              <w:bottom w:val="nil"/>
              <w:right w:val="nil"/>
            </w:tcBorders>
            <w:vAlign w:val="center"/>
            <w:hideMark/>
          </w:tcPr>
          <w:p w14:paraId="24C951DC"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p>
        </w:tc>
        <w:tc>
          <w:tcPr>
            <w:tcW w:w="0" w:type="auto"/>
            <w:gridSpan w:val="2"/>
            <w:tcBorders>
              <w:top w:val="nil"/>
              <w:left w:val="nil"/>
              <w:bottom w:val="nil"/>
              <w:right w:val="nil"/>
            </w:tcBorders>
            <w:noWrap/>
            <w:vAlign w:val="center"/>
            <w:hideMark/>
          </w:tcPr>
          <w:p w14:paraId="5A563492"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7"/>
            <w:vMerge/>
            <w:tcBorders>
              <w:top w:val="nil"/>
              <w:left w:val="nil"/>
              <w:bottom w:val="nil"/>
              <w:right w:val="nil"/>
            </w:tcBorders>
            <w:vAlign w:val="center"/>
            <w:hideMark/>
          </w:tcPr>
          <w:p w14:paraId="382BA21A"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p>
        </w:tc>
        <w:tc>
          <w:tcPr>
            <w:tcW w:w="0" w:type="auto"/>
            <w:gridSpan w:val="2"/>
            <w:tcBorders>
              <w:top w:val="nil"/>
              <w:left w:val="nil"/>
              <w:bottom w:val="nil"/>
              <w:right w:val="nil"/>
            </w:tcBorders>
            <w:vAlign w:val="center"/>
            <w:hideMark/>
          </w:tcPr>
          <w:p w14:paraId="7CF689D9"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nil"/>
              <w:left w:val="nil"/>
              <w:bottom w:val="nil"/>
              <w:right w:val="nil"/>
            </w:tcBorders>
            <w:noWrap/>
            <w:vAlign w:val="center"/>
            <w:hideMark/>
          </w:tcPr>
          <w:p w14:paraId="191331D6"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2"/>
            <w:tcBorders>
              <w:top w:val="nil"/>
              <w:left w:val="nil"/>
              <w:bottom w:val="nil"/>
              <w:right w:val="nil"/>
            </w:tcBorders>
            <w:vAlign w:val="center"/>
            <w:hideMark/>
          </w:tcPr>
          <w:p w14:paraId="106B96B8"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2"/>
            <w:tcBorders>
              <w:top w:val="nil"/>
              <w:left w:val="nil"/>
              <w:bottom w:val="nil"/>
              <w:right w:val="nil"/>
            </w:tcBorders>
            <w:vAlign w:val="center"/>
            <w:hideMark/>
          </w:tcPr>
          <w:p w14:paraId="0A81B842"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nil"/>
              <w:left w:val="nil"/>
              <w:bottom w:val="nil"/>
              <w:right w:val="single" w:sz="4" w:space="0" w:color="BFBFBF" w:themeColor="background1" w:themeShade="BF"/>
            </w:tcBorders>
            <w:vAlign w:val="center"/>
            <w:hideMark/>
          </w:tcPr>
          <w:p w14:paraId="2D868449"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r>
      <w:tr w:rsidR="00603217" w:rsidRPr="002150BE" w14:paraId="225B213D" w14:textId="77777777" w:rsidTr="002D2C4C">
        <w:trPr>
          <w:trHeight w:val="294"/>
        </w:trPr>
        <w:tc>
          <w:tcPr>
            <w:tcW w:w="0" w:type="auto"/>
            <w:gridSpan w:val="2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F7F7F" w:themeFill="text1" w:themeFillTint="80"/>
            <w:noWrap/>
            <w:vAlign w:val="center"/>
            <w:hideMark/>
          </w:tcPr>
          <w:p w14:paraId="00ADB08F" w14:textId="77777777" w:rsidR="00603217" w:rsidRPr="002150BE" w:rsidRDefault="00603217" w:rsidP="00603217">
            <w:pPr>
              <w:spacing w:after="0" w:line="240" w:lineRule="auto"/>
              <w:jc w:val="center"/>
              <w:rPr>
                <w:rFonts w:asciiTheme="minorHAnsi" w:eastAsia="Times New Roman" w:hAnsiTheme="minorHAnsi" w:cstheme="minorHAnsi"/>
                <w:b/>
                <w:bCs/>
                <w:color w:val="FFFFFF"/>
                <w:sz w:val="18"/>
                <w:szCs w:val="16"/>
                <w:lang w:eastAsia="es-MX"/>
              </w:rPr>
            </w:pPr>
            <w:r w:rsidRPr="002150BE">
              <w:rPr>
                <w:rFonts w:asciiTheme="minorHAnsi" w:eastAsia="Times New Roman" w:hAnsiTheme="minorHAnsi" w:cstheme="minorHAnsi"/>
                <w:b/>
                <w:bCs/>
                <w:color w:val="FFFFFF"/>
                <w:sz w:val="18"/>
                <w:szCs w:val="16"/>
                <w:lang w:eastAsia="es-MX"/>
              </w:rPr>
              <w:t>Sistematización y disponibilidad de la información</w:t>
            </w:r>
          </w:p>
        </w:tc>
      </w:tr>
      <w:tr w:rsidR="00603217" w:rsidRPr="002150BE" w14:paraId="5A0811A9" w14:textId="77777777" w:rsidTr="002D2C4C">
        <w:trPr>
          <w:trHeight w:val="420"/>
        </w:trPr>
        <w:tc>
          <w:tcPr>
            <w:tcW w:w="0" w:type="auto"/>
            <w:tcBorders>
              <w:top w:val="single" w:sz="4" w:space="0" w:color="BFBFBF" w:themeColor="background1" w:themeShade="BF"/>
              <w:left w:val="single" w:sz="4" w:space="0" w:color="BFBFBF" w:themeColor="background1" w:themeShade="BF"/>
              <w:bottom w:val="nil"/>
              <w:right w:val="nil"/>
            </w:tcBorders>
            <w:noWrap/>
            <w:vAlign w:val="center"/>
            <w:hideMark/>
          </w:tcPr>
          <w:p w14:paraId="1D16D8FC"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c>
          <w:tcPr>
            <w:tcW w:w="0" w:type="auto"/>
            <w:gridSpan w:val="26"/>
            <w:tcBorders>
              <w:top w:val="single" w:sz="4" w:space="0" w:color="BFBFBF" w:themeColor="background1" w:themeShade="BF"/>
              <w:left w:val="nil"/>
              <w:bottom w:val="nil"/>
              <w:right w:val="single" w:sz="4" w:space="0" w:color="BFBFBF" w:themeColor="background1" w:themeShade="BF"/>
            </w:tcBorders>
            <w:vAlign w:val="center"/>
            <w:hideMark/>
          </w:tcPr>
          <w:p w14:paraId="108F06E4"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3. ¿El Pp cuenta con un sistema informático para la integración, actualización y depuración de la población atendida?</w:t>
            </w:r>
          </w:p>
        </w:tc>
      </w:tr>
      <w:tr w:rsidR="00BC7761" w:rsidRPr="002150BE" w14:paraId="64972610" w14:textId="77777777" w:rsidTr="00BC7761">
        <w:trPr>
          <w:trHeight w:val="280"/>
        </w:trPr>
        <w:tc>
          <w:tcPr>
            <w:tcW w:w="0" w:type="auto"/>
            <w:tcBorders>
              <w:top w:val="nil"/>
              <w:left w:val="single" w:sz="4" w:space="0" w:color="BFBFBF" w:themeColor="background1" w:themeShade="BF"/>
              <w:bottom w:val="nil"/>
              <w:right w:val="nil"/>
            </w:tcBorders>
            <w:noWrap/>
            <w:vAlign w:val="center"/>
            <w:hideMark/>
          </w:tcPr>
          <w:p w14:paraId="029A64C4" w14:textId="77777777" w:rsidR="00BC7761" w:rsidRPr="002150BE" w:rsidRDefault="00BC7761"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c>
          <w:tcPr>
            <w:tcW w:w="0" w:type="auto"/>
            <w:tcBorders>
              <w:top w:val="single" w:sz="4" w:space="0" w:color="595959"/>
              <w:left w:val="single" w:sz="4" w:space="0" w:color="595959"/>
              <w:bottom w:val="single" w:sz="4" w:space="0" w:color="595959"/>
              <w:right w:val="single" w:sz="4" w:space="0" w:color="595959"/>
            </w:tcBorders>
            <w:noWrap/>
            <w:vAlign w:val="center"/>
            <w:hideMark/>
          </w:tcPr>
          <w:p w14:paraId="78185F42" w14:textId="77777777" w:rsidR="00BC7761" w:rsidRPr="002150BE" w:rsidRDefault="00BC7761" w:rsidP="00603217">
            <w:pPr>
              <w:spacing w:after="0" w:line="240" w:lineRule="auto"/>
              <w:rPr>
                <w:rFonts w:asciiTheme="minorHAnsi" w:eastAsia="Times New Roman" w:hAnsiTheme="minorHAnsi" w:cstheme="minorHAnsi"/>
                <w:b/>
                <w:bCs/>
                <w:color w:val="000000"/>
                <w:sz w:val="16"/>
                <w:szCs w:val="16"/>
                <w:lang w:eastAsia="es-MX"/>
              </w:rPr>
            </w:pPr>
            <w:r w:rsidRPr="002150BE">
              <w:rPr>
                <w:rFonts w:asciiTheme="minorHAnsi" w:eastAsia="Times New Roman" w:hAnsiTheme="minorHAnsi" w:cstheme="minorHAnsi"/>
                <w:b/>
                <w:bCs/>
                <w:color w:val="000000"/>
                <w:sz w:val="16"/>
                <w:szCs w:val="16"/>
                <w:lang w:eastAsia="es-MX"/>
              </w:rPr>
              <w:t>X</w:t>
            </w:r>
          </w:p>
        </w:tc>
        <w:tc>
          <w:tcPr>
            <w:tcW w:w="0" w:type="auto"/>
            <w:tcBorders>
              <w:top w:val="nil"/>
              <w:left w:val="nil"/>
              <w:bottom w:val="nil"/>
              <w:right w:val="nil"/>
            </w:tcBorders>
            <w:noWrap/>
            <w:vAlign w:val="center"/>
            <w:hideMark/>
          </w:tcPr>
          <w:p w14:paraId="5A0B5FB0" w14:textId="77777777" w:rsidR="00BC7761" w:rsidRPr="002150BE" w:rsidRDefault="00BC7761" w:rsidP="00603217">
            <w:pPr>
              <w:spacing w:after="0" w:line="240" w:lineRule="auto"/>
              <w:jc w:val="center"/>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Sí</w:t>
            </w:r>
          </w:p>
        </w:tc>
        <w:tc>
          <w:tcPr>
            <w:tcW w:w="0" w:type="auto"/>
            <w:gridSpan w:val="11"/>
            <w:tcBorders>
              <w:top w:val="nil"/>
              <w:left w:val="nil"/>
              <w:bottom w:val="nil"/>
              <w:right w:val="nil"/>
            </w:tcBorders>
            <w:noWrap/>
            <w:vAlign w:val="center"/>
            <w:hideMark/>
          </w:tcPr>
          <w:p w14:paraId="0162C553" w14:textId="77777777" w:rsidR="00BC7761" w:rsidRPr="002150BE" w:rsidRDefault="00BC7761" w:rsidP="00603217">
            <w:pPr>
              <w:spacing w:after="0" w:line="240" w:lineRule="auto"/>
              <w:rPr>
                <w:rFonts w:asciiTheme="minorHAnsi" w:eastAsia="Times New Roman" w:hAnsiTheme="minorHAnsi" w:cstheme="minorHAnsi"/>
                <w:i/>
                <w:iCs/>
                <w:color w:val="000000"/>
                <w:sz w:val="16"/>
                <w:szCs w:val="16"/>
                <w:lang w:eastAsia="es-MX"/>
              </w:rPr>
            </w:pPr>
            <w:r w:rsidRPr="002150BE">
              <w:rPr>
                <w:rFonts w:asciiTheme="minorHAnsi" w:eastAsia="Times New Roman" w:hAnsiTheme="minorHAnsi" w:cstheme="minorHAnsi"/>
                <w:i/>
                <w:iCs/>
                <w:color w:val="000000"/>
                <w:sz w:val="16"/>
                <w:szCs w:val="16"/>
                <w:lang w:eastAsia="es-MX"/>
              </w:rPr>
              <w:t>Indicar el nombre del sistema:</w:t>
            </w:r>
          </w:p>
        </w:tc>
        <w:tc>
          <w:tcPr>
            <w:tcW w:w="0" w:type="auto"/>
            <w:gridSpan w:val="11"/>
            <w:tcBorders>
              <w:top w:val="nil"/>
              <w:left w:val="nil"/>
              <w:bottom w:val="single" w:sz="4" w:space="0" w:color="595959"/>
              <w:right w:val="nil"/>
            </w:tcBorders>
            <w:noWrap/>
            <w:vAlign w:val="center"/>
            <w:hideMark/>
          </w:tcPr>
          <w:p w14:paraId="4538A139" w14:textId="77777777" w:rsidR="00BC7761" w:rsidRPr="002150BE" w:rsidRDefault="00BC7761" w:rsidP="00BC7761">
            <w:pPr>
              <w:spacing w:after="0" w:line="240" w:lineRule="auto"/>
              <w:jc w:val="center"/>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Sistema de Control Escolar</w:t>
            </w:r>
          </w:p>
        </w:tc>
        <w:tc>
          <w:tcPr>
            <w:tcW w:w="0" w:type="auto"/>
            <w:gridSpan w:val="2"/>
            <w:tcBorders>
              <w:top w:val="nil"/>
              <w:left w:val="nil"/>
              <w:bottom w:val="nil"/>
              <w:right w:val="single" w:sz="4" w:space="0" w:color="BFBFBF" w:themeColor="background1" w:themeShade="BF"/>
            </w:tcBorders>
            <w:noWrap/>
            <w:vAlign w:val="center"/>
            <w:hideMark/>
          </w:tcPr>
          <w:p w14:paraId="288DD7A9" w14:textId="77777777" w:rsidR="00BC7761" w:rsidRPr="002150BE" w:rsidRDefault="00BC7761"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r>
      <w:tr w:rsidR="00F323B5" w:rsidRPr="002150BE" w14:paraId="42C31898" w14:textId="77777777" w:rsidTr="002D2C4C">
        <w:trPr>
          <w:trHeight w:val="112"/>
        </w:trPr>
        <w:tc>
          <w:tcPr>
            <w:tcW w:w="0" w:type="auto"/>
            <w:tcBorders>
              <w:top w:val="nil"/>
              <w:left w:val="single" w:sz="4" w:space="0" w:color="BFBFBF" w:themeColor="background1" w:themeShade="BF"/>
              <w:bottom w:val="nil"/>
              <w:right w:val="nil"/>
            </w:tcBorders>
            <w:noWrap/>
            <w:vAlign w:val="center"/>
            <w:hideMark/>
          </w:tcPr>
          <w:p w14:paraId="159C3272"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c>
          <w:tcPr>
            <w:tcW w:w="0" w:type="auto"/>
            <w:tcBorders>
              <w:top w:val="nil"/>
              <w:left w:val="nil"/>
              <w:bottom w:val="nil"/>
              <w:right w:val="nil"/>
            </w:tcBorders>
            <w:vAlign w:val="center"/>
            <w:hideMark/>
          </w:tcPr>
          <w:p w14:paraId="2447F1D8"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p>
        </w:tc>
        <w:tc>
          <w:tcPr>
            <w:tcW w:w="0" w:type="auto"/>
            <w:tcBorders>
              <w:top w:val="nil"/>
              <w:left w:val="nil"/>
              <w:bottom w:val="nil"/>
              <w:right w:val="nil"/>
            </w:tcBorders>
            <w:vAlign w:val="center"/>
            <w:hideMark/>
          </w:tcPr>
          <w:p w14:paraId="7715A84F"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nil"/>
              <w:left w:val="nil"/>
              <w:bottom w:val="nil"/>
              <w:right w:val="nil"/>
            </w:tcBorders>
            <w:vAlign w:val="center"/>
            <w:hideMark/>
          </w:tcPr>
          <w:p w14:paraId="14E6CB6C"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2"/>
            <w:tcBorders>
              <w:top w:val="nil"/>
              <w:left w:val="nil"/>
              <w:bottom w:val="nil"/>
              <w:right w:val="nil"/>
            </w:tcBorders>
            <w:noWrap/>
            <w:vAlign w:val="center"/>
            <w:hideMark/>
          </w:tcPr>
          <w:p w14:paraId="7516B749"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nil"/>
              <w:left w:val="nil"/>
              <w:bottom w:val="nil"/>
              <w:right w:val="nil"/>
            </w:tcBorders>
            <w:vAlign w:val="center"/>
            <w:hideMark/>
          </w:tcPr>
          <w:p w14:paraId="03826F8C"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nil"/>
              <w:left w:val="nil"/>
              <w:bottom w:val="nil"/>
              <w:right w:val="nil"/>
            </w:tcBorders>
            <w:vAlign w:val="center"/>
            <w:hideMark/>
          </w:tcPr>
          <w:p w14:paraId="3DFE036F"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nil"/>
              <w:left w:val="nil"/>
              <w:bottom w:val="nil"/>
              <w:right w:val="nil"/>
            </w:tcBorders>
            <w:vAlign w:val="center"/>
            <w:hideMark/>
          </w:tcPr>
          <w:p w14:paraId="54D68E4B"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nil"/>
              <w:left w:val="nil"/>
              <w:bottom w:val="nil"/>
              <w:right w:val="nil"/>
            </w:tcBorders>
            <w:noWrap/>
            <w:vAlign w:val="center"/>
            <w:hideMark/>
          </w:tcPr>
          <w:p w14:paraId="461DAC56"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4"/>
            <w:tcBorders>
              <w:top w:val="nil"/>
              <w:left w:val="nil"/>
              <w:bottom w:val="nil"/>
              <w:right w:val="nil"/>
            </w:tcBorders>
            <w:noWrap/>
            <w:vAlign w:val="center"/>
            <w:hideMark/>
          </w:tcPr>
          <w:p w14:paraId="7B6937F4"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2"/>
            <w:tcBorders>
              <w:top w:val="nil"/>
              <w:left w:val="nil"/>
              <w:bottom w:val="nil"/>
              <w:right w:val="nil"/>
            </w:tcBorders>
            <w:noWrap/>
            <w:vAlign w:val="center"/>
            <w:hideMark/>
          </w:tcPr>
          <w:p w14:paraId="0E948E3E"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nil"/>
              <w:left w:val="nil"/>
              <w:bottom w:val="nil"/>
              <w:right w:val="nil"/>
            </w:tcBorders>
            <w:noWrap/>
            <w:vAlign w:val="center"/>
            <w:hideMark/>
          </w:tcPr>
          <w:p w14:paraId="7421AB13"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nil"/>
              <w:left w:val="nil"/>
              <w:bottom w:val="nil"/>
              <w:right w:val="nil"/>
            </w:tcBorders>
            <w:noWrap/>
            <w:vAlign w:val="center"/>
            <w:hideMark/>
          </w:tcPr>
          <w:p w14:paraId="4AACEDD7"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5"/>
            <w:tcBorders>
              <w:top w:val="nil"/>
              <w:left w:val="nil"/>
              <w:bottom w:val="nil"/>
              <w:right w:val="nil"/>
            </w:tcBorders>
            <w:noWrap/>
            <w:vAlign w:val="center"/>
            <w:hideMark/>
          </w:tcPr>
          <w:p w14:paraId="672D2759"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2"/>
            <w:tcBorders>
              <w:top w:val="nil"/>
              <w:left w:val="nil"/>
              <w:bottom w:val="nil"/>
              <w:right w:val="nil"/>
            </w:tcBorders>
            <w:noWrap/>
            <w:vAlign w:val="center"/>
            <w:hideMark/>
          </w:tcPr>
          <w:p w14:paraId="4A4B5DCB"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2"/>
            <w:tcBorders>
              <w:top w:val="nil"/>
              <w:left w:val="nil"/>
              <w:bottom w:val="nil"/>
              <w:right w:val="single" w:sz="4" w:space="0" w:color="BFBFBF" w:themeColor="background1" w:themeShade="BF"/>
            </w:tcBorders>
            <w:noWrap/>
            <w:vAlign w:val="center"/>
            <w:hideMark/>
          </w:tcPr>
          <w:p w14:paraId="485A1421"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r>
      <w:tr w:rsidR="00BC7761" w:rsidRPr="002150BE" w14:paraId="5987031C" w14:textId="77777777" w:rsidTr="002D2C4C">
        <w:trPr>
          <w:trHeight w:val="280"/>
        </w:trPr>
        <w:tc>
          <w:tcPr>
            <w:tcW w:w="0" w:type="auto"/>
            <w:tcBorders>
              <w:top w:val="nil"/>
              <w:left w:val="single" w:sz="4" w:space="0" w:color="BFBFBF" w:themeColor="background1" w:themeShade="BF"/>
              <w:bottom w:val="nil"/>
              <w:right w:val="nil"/>
            </w:tcBorders>
            <w:noWrap/>
            <w:vAlign w:val="center"/>
            <w:hideMark/>
          </w:tcPr>
          <w:p w14:paraId="51935A8E"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c>
          <w:tcPr>
            <w:tcW w:w="0" w:type="auto"/>
            <w:tcBorders>
              <w:top w:val="single" w:sz="4" w:space="0" w:color="595959"/>
              <w:left w:val="single" w:sz="4" w:space="0" w:color="595959"/>
              <w:bottom w:val="single" w:sz="4" w:space="0" w:color="595959"/>
              <w:right w:val="single" w:sz="4" w:space="0" w:color="595959"/>
            </w:tcBorders>
            <w:noWrap/>
            <w:vAlign w:val="center"/>
            <w:hideMark/>
          </w:tcPr>
          <w:p w14:paraId="1D05E389"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c>
          <w:tcPr>
            <w:tcW w:w="0" w:type="auto"/>
            <w:tcBorders>
              <w:top w:val="nil"/>
              <w:left w:val="nil"/>
              <w:bottom w:val="nil"/>
              <w:right w:val="nil"/>
            </w:tcBorders>
            <w:noWrap/>
            <w:vAlign w:val="center"/>
            <w:hideMark/>
          </w:tcPr>
          <w:p w14:paraId="05F6D278" w14:textId="77777777" w:rsidR="00603217" w:rsidRPr="002150BE" w:rsidRDefault="00603217" w:rsidP="00603217">
            <w:pPr>
              <w:spacing w:after="0" w:line="240" w:lineRule="auto"/>
              <w:jc w:val="center"/>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No</w:t>
            </w:r>
          </w:p>
        </w:tc>
        <w:tc>
          <w:tcPr>
            <w:tcW w:w="0" w:type="auto"/>
            <w:gridSpan w:val="11"/>
            <w:tcBorders>
              <w:top w:val="nil"/>
              <w:left w:val="nil"/>
              <w:bottom w:val="nil"/>
              <w:right w:val="nil"/>
            </w:tcBorders>
            <w:noWrap/>
            <w:vAlign w:val="center"/>
            <w:hideMark/>
          </w:tcPr>
          <w:p w14:paraId="68F4F4F2" w14:textId="77777777" w:rsidR="00603217" w:rsidRPr="002150BE" w:rsidRDefault="00603217" w:rsidP="00603217">
            <w:pPr>
              <w:spacing w:after="0" w:line="240" w:lineRule="auto"/>
              <w:rPr>
                <w:rFonts w:asciiTheme="minorHAnsi" w:eastAsia="Times New Roman" w:hAnsiTheme="minorHAnsi" w:cstheme="minorHAnsi"/>
                <w:i/>
                <w:iCs/>
                <w:color w:val="000000"/>
                <w:sz w:val="16"/>
                <w:szCs w:val="16"/>
                <w:lang w:eastAsia="es-MX"/>
              </w:rPr>
            </w:pPr>
            <w:r w:rsidRPr="002150BE">
              <w:rPr>
                <w:rFonts w:asciiTheme="minorHAnsi" w:eastAsia="Times New Roman" w:hAnsiTheme="minorHAnsi" w:cstheme="minorHAnsi"/>
                <w:i/>
                <w:iCs/>
                <w:color w:val="000000"/>
                <w:sz w:val="16"/>
                <w:szCs w:val="16"/>
                <w:lang w:eastAsia="es-MX"/>
              </w:rPr>
              <w:t>Seleccione el procedimiento manual que realiza el Pp:</w:t>
            </w:r>
          </w:p>
        </w:tc>
        <w:tc>
          <w:tcPr>
            <w:tcW w:w="0" w:type="auto"/>
            <w:gridSpan w:val="2"/>
            <w:tcBorders>
              <w:top w:val="nil"/>
              <w:left w:val="nil"/>
              <w:bottom w:val="nil"/>
              <w:right w:val="nil"/>
            </w:tcBorders>
            <w:noWrap/>
            <w:vAlign w:val="center"/>
            <w:hideMark/>
          </w:tcPr>
          <w:p w14:paraId="1865E054"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nil"/>
              <w:left w:val="nil"/>
              <w:bottom w:val="nil"/>
              <w:right w:val="nil"/>
            </w:tcBorders>
            <w:vAlign w:val="center"/>
            <w:hideMark/>
          </w:tcPr>
          <w:p w14:paraId="175BA606" w14:textId="77777777" w:rsidR="00603217" w:rsidRPr="002150BE" w:rsidRDefault="00603217" w:rsidP="00603217">
            <w:pPr>
              <w:spacing w:after="0" w:line="240" w:lineRule="auto"/>
              <w:jc w:val="center"/>
              <w:rPr>
                <w:rFonts w:asciiTheme="minorHAnsi" w:eastAsia="Times New Roman" w:hAnsiTheme="minorHAnsi" w:cstheme="minorHAnsi"/>
                <w:sz w:val="16"/>
                <w:szCs w:val="16"/>
                <w:lang w:eastAsia="es-MX"/>
              </w:rPr>
            </w:pPr>
          </w:p>
        </w:tc>
        <w:tc>
          <w:tcPr>
            <w:tcW w:w="0" w:type="auto"/>
            <w:tcBorders>
              <w:top w:val="nil"/>
              <w:left w:val="nil"/>
              <w:bottom w:val="nil"/>
              <w:right w:val="nil"/>
            </w:tcBorders>
            <w:vAlign w:val="center"/>
            <w:hideMark/>
          </w:tcPr>
          <w:p w14:paraId="31FCEDCD"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5"/>
            <w:tcBorders>
              <w:top w:val="nil"/>
              <w:left w:val="nil"/>
              <w:bottom w:val="nil"/>
              <w:right w:val="nil"/>
            </w:tcBorders>
            <w:vAlign w:val="center"/>
            <w:hideMark/>
          </w:tcPr>
          <w:p w14:paraId="4F3B9F19"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2"/>
            <w:tcBorders>
              <w:top w:val="nil"/>
              <w:left w:val="nil"/>
              <w:bottom w:val="nil"/>
              <w:right w:val="nil"/>
            </w:tcBorders>
            <w:vAlign w:val="center"/>
            <w:hideMark/>
          </w:tcPr>
          <w:p w14:paraId="3D5362D1"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2"/>
            <w:tcBorders>
              <w:top w:val="nil"/>
              <w:left w:val="nil"/>
              <w:bottom w:val="nil"/>
              <w:right w:val="single" w:sz="4" w:space="0" w:color="BFBFBF" w:themeColor="background1" w:themeShade="BF"/>
            </w:tcBorders>
            <w:vAlign w:val="center"/>
            <w:hideMark/>
          </w:tcPr>
          <w:p w14:paraId="4302B282"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r>
      <w:tr w:rsidR="00BC7761" w:rsidRPr="002150BE" w14:paraId="02A8FF34" w14:textId="77777777" w:rsidTr="002D2C4C">
        <w:trPr>
          <w:trHeight w:val="280"/>
        </w:trPr>
        <w:tc>
          <w:tcPr>
            <w:tcW w:w="0" w:type="auto"/>
            <w:tcBorders>
              <w:top w:val="nil"/>
              <w:left w:val="single" w:sz="4" w:space="0" w:color="BFBFBF" w:themeColor="background1" w:themeShade="BF"/>
              <w:bottom w:val="nil"/>
              <w:right w:val="nil"/>
            </w:tcBorders>
            <w:noWrap/>
            <w:vAlign w:val="center"/>
            <w:hideMark/>
          </w:tcPr>
          <w:p w14:paraId="2B8F39DE"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c>
          <w:tcPr>
            <w:tcW w:w="0" w:type="auto"/>
            <w:tcBorders>
              <w:top w:val="nil"/>
              <w:left w:val="nil"/>
              <w:bottom w:val="nil"/>
              <w:right w:val="nil"/>
            </w:tcBorders>
            <w:noWrap/>
            <w:vAlign w:val="center"/>
            <w:hideMark/>
          </w:tcPr>
          <w:p w14:paraId="30ABB452"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p>
        </w:tc>
        <w:tc>
          <w:tcPr>
            <w:tcW w:w="0" w:type="auto"/>
            <w:tcBorders>
              <w:top w:val="nil"/>
              <w:left w:val="nil"/>
              <w:bottom w:val="nil"/>
              <w:right w:val="nil"/>
            </w:tcBorders>
            <w:noWrap/>
            <w:vAlign w:val="center"/>
            <w:hideMark/>
          </w:tcPr>
          <w:p w14:paraId="463169E2"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single" w:sz="4" w:space="0" w:color="595959"/>
              <w:left w:val="single" w:sz="4" w:space="0" w:color="595959"/>
              <w:bottom w:val="single" w:sz="4" w:space="0" w:color="595959"/>
              <w:right w:val="single" w:sz="4" w:space="0" w:color="595959"/>
            </w:tcBorders>
            <w:noWrap/>
            <w:vAlign w:val="center"/>
            <w:hideMark/>
          </w:tcPr>
          <w:p w14:paraId="70B7D080"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c>
          <w:tcPr>
            <w:tcW w:w="0" w:type="auto"/>
            <w:gridSpan w:val="19"/>
            <w:tcBorders>
              <w:top w:val="nil"/>
              <w:left w:val="nil"/>
              <w:bottom w:val="nil"/>
              <w:right w:val="nil"/>
            </w:tcBorders>
            <w:noWrap/>
            <w:vAlign w:val="center"/>
            <w:hideMark/>
          </w:tcPr>
          <w:p w14:paraId="56C6B0B1"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Utiliza una base de datos en Excel, Access, SPSS u otro programa informático.</w:t>
            </w:r>
          </w:p>
        </w:tc>
        <w:tc>
          <w:tcPr>
            <w:tcW w:w="0" w:type="auto"/>
            <w:gridSpan w:val="2"/>
            <w:tcBorders>
              <w:top w:val="nil"/>
              <w:left w:val="nil"/>
              <w:bottom w:val="nil"/>
              <w:right w:val="nil"/>
            </w:tcBorders>
            <w:vAlign w:val="center"/>
            <w:hideMark/>
          </w:tcPr>
          <w:p w14:paraId="1F754940"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p>
        </w:tc>
        <w:tc>
          <w:tcPr>
            <w:tcW w:w="0" w:type="auto"/>
            <w:gridSpan w:val="2"/>
            <w:tcBorders>
              <w:top w:val="nil"/>
              <w:left w:val="nil"/>
              <w:bottom w:val="nil"/>
              <w:right w:val="single" w:sz="4" w:space="0" w:color="BFBFBF" w:themeColor="background1" w:themeShade="BF"/>
            </w:tcBorders>
            <w:vAlign w:val="center"/>
            <w:hideMark/>
          </w:tcPr>
          <w:p w14:paraId="7187D2A5"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r>
      <w:tr w:rsidR="00F323B5" w:rsidRPr="002150BE" w14:paraId="4EBFDE70" w14:textId="77777777" w:rsidTr="002D2C4C">
        <w:trPr>
          <w:trHeight w:val="117"/>
        </w:trPr>
        <w:tc>
          <w:tcPr>
            <w:tcW w:w="0" w:type="auto"/>
            <w:tcBorders>
              <w:top w:val="nil"/>
              <w:left w:val="single" w:sz="4" w:space="0" w:color="BFBFBF" w:themeColor="background1" w:themeShade="BF"/>
              <w:bottom w:val="nil"/>
              <w:right w:val="nil"/>
            </w:tcBorders>
            <w:noWrap/>
            <w:vAlign w:val="center"/>
            <w:hideMark/>
          </w:tcPr>
          <w:p w14:paraId="285319BA"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c>
          <w:tcPr>
            <w:tcW w:w="0" w:type="auto"/>
            <w:tcBorders>
              <w:top w:val="nil"/>
              <w:left w:val="nil"/>
              <w:bottom w:val="nil"/>
              <w:right w:val="nil"/>
            </w:tcBorders>
            <w:noWrap/>
            <w:vAlign w:val="center"/>
            <w:hideMark/>
          </w:tcPr>
          <w:p w14:paraId="170EB204"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p>
        </w:tc>
        <w:tc>
          <w:tcPr>
            <w:tcW w:w="0" w:type="auto"/>
            <w:tcBorders>
              <w:top w:val="nil"/>
              <w:left w:val="nil"/>
              <w:bottom w:val="nil"/>
              <w:right w:val="nil"/>
            </w:tcBorders>
            <w:noWrap/>
            <w:vAlign w:val="center"/>
            <w:hideMark/>
          </w:tcPr>
          <w:p w14:paraId="29D00BD6"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nil"/>
              <w:left w:val="nil"/>
              <w:bottom w:val="nil"/>
              <w:right w:val="nil"/>
            </w:tcBorders>
            <w:noWrap/>
            <w:vAlign w:val="center"/>
            <w:hideMark/>
          </w:tcPr>
          <w:p w14:paraId="2D62D60D"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2"/>
            <w:tcBorders>
              <w:top w:val="nil"/>
              <w:left w:val="nil"/>
              <w:bottom w:val="nil"/>
              <w:right w:val="nil"/>
            </w:tcBorders>
            <w:vAlign w:val="center"/>
            <w:hideMark/>
          </w:tcPr>
          <w:p w14:paraId="43BA8B3C"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nil"/>
              <w:left w:val="nil"/>
              <w:bottom w:val="nil"/>
              <w:right w:val="nil"/>
            </w:tcBorders>
            <w:vAlign w:val="center"/>
            <w:hideMark/>
          </w:tcPr>
          <w:p w14:paraId="667C66D2"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nil"/>
              <w:left w:val="nil"/>
              <w:bottom w:val="nil"/>
              <w:right w:val="nil"/>
            </w:tcBorders>
            <w:vAlign w:val="center"/>
            <w:hideMark/>
          </w:tcPr>
          <w:p w14:paraId="4D8160F4"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nil"/>
              <w:left w:val="nil"/>
              <w:bottom w:val="nil"/>
              <w:right w:val="nil"/>
            </w:tcBorders>
            <w:vAlign w:val="center"/>
            <w:hideMark/>
          </w:tcPr>
          <w:p w14:paraId="7771423C"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nil"/>
              <w:left w:val="nil"/>
              <w:bottom w:val="nil"/>
              <w:right w:val="nil"/>
            </w:tcBorders>
            <w:vAlign w:val="center"/>
            <w:hideMark/>
          </w:tcPr>
          <w:p w14:paraId="4F06F095"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4"/>
            <w:tcBorders>
              <w:top w:val="nil"/>
              <w:left w:val="nil"/>
              <w:bottom w:val="nil"/>
              <w:right w:val="nil"/>
            </w:tcBorders>
            <w:noWrap/>
            <w:vAlign w:val="center"/>
            <w:hideMark/>
          </w:tcPr>
          <w:p w14:paraId="58485679"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2"/>
            <w:tcBorders>
              <w:top w:val="nil"/>
              <w:left w:val="nil"/>
              <w:bottom w:val="nil"/>
              <w:right w:val="nil"/>
            </w:tcBorders>
            <w:vAlign w:val="center"/>
            <w:hideMark/>
          </w:tcPr>
          <w:p w14:paraId="6A2A51B2"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nil"/>
              <w:left w:val="nil"/>
              <w:bottom w:val="nil"/>
              <w:right w:val="nil"/>
            </w:tcBorders>
            <w:vAlign w:val="center"/>
            <w:hideMark/>
          </w:tcPr>
          <w:p w14:paraId="748D0F86"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nil"/>
              <w:left w:val="nil"/>
              <w:bottom w:val="nil"/>
              <w:right w:val="nil"/>
            </w:tcBorders>
            <w:vAlign w:val="center"/>
            <w:hideMark/>
          </w:tcPr>
          <w:p w14:paraId="62997D2A"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5"/>
            <w:tcBorders>
              <w:top w:val="nil"/>
              <w:left w:val="nil"/>
              <w:bottom w:val="nil"/>
              <w:right w:val="nil"/>
            </w:tcBorders>
            <w:vAlign w:val="center"/>
            <w:hideMark/>
          </w:tcPr>
          <w:p w14:paraId="3563AD45"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2"/>
            <w:tcBorders>
              <w:top w:val="nil"/>
              <w:left w:val="nil"/>
              <w:bottom w:val="nil"/>
              <w:right w:val="nil"/>
            </w:tcBorders>
            <w:vAlign w:val="center"/>
            <w:hideMark/>
          </w:tcPr>
          <w:p w14:paraId="4BFAF0F4"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2"/>
            <w:tcBorders>
              <w:top w:val="nil"/>
              <w:left w:val="nil"/>
              <w:right w:val="single" w:sz="4" w:space="0" w:color="BFBFBF" w:themeColor="background1" w:themeShade="BF"/>
            </w:tcBorders>
            <w:vAlign w:val="center"/>
            <w:hideMark/>
          </w:tcPr>
          <w:p w14:paraId="74FAA604"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r>
      <w:tr w:rsidR="00BC7761" w:rsidRPr="002150BE" w14:paraId="36EF40D9" w14:textId="77777777" w:rsidTr="002D2C4C">
        <w:trPr>
          <w:trHeight w:val="280"/>
        </w:trPr>
        <w:tc>
          <w:tcPr>
            <w:tcW w:w="0" w:type="auto"/>
            <w:tcBorders>
              <w:top w:val="nil"/>
              <w:left w:val="single" w:sz="4" w:space="0" w:color="BFBFBF" w:themeColor="background1" w:themeShade="BF"/>
              <w:bottom w:val="nil"/>
              <w:right w:val="nil"/>
            </w:tcBorders>
            <w:noWrap/>
            <w:vAlign w:val="center"/>
            <w:hideMark/>
          </w:tcPr>
          <w:p w14:paraId="31C5599D"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c>
          <w:tcPr>
            <w:tcW w:w="0" w:type="auto"/>
            <w:tcBorders>
              <w:top w:val="nil"/>
              <w:left w:val="nil"/>
              <w:bottom w:val="nil"/>
              <w:right w:val="nil"/>
            </w:tcBorders>
            <w:vAlign w:val="center"/>
            <w:hideMark/>
          </w:tcPr>
          <w:p w14:paraId="7B0B973A"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p>
        </w:tc>
        <w:tc>
          <w:tcPr>
            <w:tcW w:w="0" w:type="auto"/>
            <w:tcBorders>
              <w:top w:val="nil"/>
              <w:left w:val="nil"/>
              <w:bottom w:val="nil"/>
              <w:right w:val="nil"/>
            </w:tcBorders>
            <w:vAlign w:val="center"/>
            <w:hideMark/>
          </w:tcPr>
          <w:p w14:paraId="06B578F2"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single" w:sz="4" w:space="0" w:color="595959"/>
              <w:left w:val="single" w:sz="4" w:space="0" w:color="595959"/>
              <w:bottom w:val="single" w:sz="4" w:space="0" w:color="595959"/>
              <w:right w:val="single" w:sz="4" w:space="0" w:color="595959"/>
            </w:tcBorders>
            <w:noWrap/>
            <w:vAlign w:val="center"/>
            <w:hideMark/>
          </w:tcPr>
          <w:p w14:paraId="7AED8C8A"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c>
          <w:tcPr>
            <w:tcW w:w="0" w:type="auto"/>
            <w:gridSpan w:val="21"/>
            <w:tcBorders>
              <w:top w:val="nil"/>
              <w:left w:val="nil"/>
              <w:bottom w:val="nil"/>
            </w:tcBorders>
            <w:noWrap/>
            <w:vAlign w:val="center"/>
            <w:hideMark/>
          </w:tcPr>
          <w:p w14:paraId="063585EB"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r w:rsidRPr="002150BE">
              <w:rPr>
                <w:rFonts w:asciiTheme="minorHAnsi" w:eastAsia="Times New Roman" w:hAnsiTheme="minorHAnsi" w:cstheme="minorHAnsi"/>
                <w:color w:val="000000"/>
                <w:sz w:val="16"/>
                <w:szCs w:val="16"/>
                <w:lang w:eastAsia="es-MX"/>
              </w:rPr>
              <w:t>Cuenta con Registros Administrativos que almacena en físico o escaneados.</w:t>
            </w:r>
          </w:p>
        </w:tc>
        <w:tc>
          <w:tcPr>
            <w:tcW w:w="0" w:type="auto"/>
            <w:gridSpan w:val="2"/>
            <w:tcBorders>
              <w:top w:val="nil"/>
              <w:bottom w:val="nil"/>
              <w:right w:val="single" w:sz="4" w:space="0" w:color="BFBFBF" w:themeColor="background1" w:themeShade="BF"/>
            </w:tcBorders>
            <w:noWrap/>
            <w:vAlign w:val="center"/>
            <w:hideMark/>
          </w:tcPr>
          <w:p w14:paraId="4E5F3E8B"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r>
      <w:tr w:rsidR="00F323B5" w:rsidRPr="002150BE" w14:paraId="39B43AD0" w14:textId="77777777" w:rsidTr="002D2C4C">
        <w:trPr>
          <w:trHeight w:val="182"/>
        </w:trPr>
        <w:tc>
          <w:tcPr>
            <w:tcW w:w="0" w:type="auto"/>
            <w:tcBorders>
              <w:top w:val="nil"/>
              <w:left w:val="single" w:sz="4" w:space="0" w:color="BFBFBF" w:themeColor="background1" w:themeShade="BF"/>
              <w:bottom w:val="nil"/>
              <w:right w:val="nil"/>
            </w:tcBorders>
            <w:noWrap/>
            <w:vAlign w:val="center"/>
            <w:hideMark/>
          </w:tcPr>
          <w:p w14:paraId="1397A352"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c>
          <w:tcPr>
            <w:tcW w:w="0" w:type="auto"/>
            <w:tcBorders>
              <w:top w:val="nil"/>
              <w:left w:val="nil"/>
              <w:bottom w:val="nil"/>
              <w:right w:val="nil"/>
            </w:tcBorders>
            <w:vAlign w:val="center"/>
            <w:hideMark/>
          </w:tcPr>
          <w:p w14:paraId="3B613623"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p>
        </w:tc>
        <w:tc>
          <w:tcPr>
            <w:tcW w:w="0" w:type="auto"/>
            <w:tcBorders>
              <w:top w:val="nil"/>
              <w:left w:val="nil"/>
              <w:bottom w:val="nil"/>
              <w:right w:val="nil"/>
            </w:tcBorders>
            <w:vAlign w:val="center"/>
            <w:hideMark/>
          </w:tcPr>
          <w:p w14:paraId="1B66C325"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nil"/>
              <w:left w:val="nil"/>
              <w:bottom w:val="nil"/>
              <w:right w:val="nil"/>
            </w:tcBorders>
            <w:vAlign w:val="center"/>
            <w:hideMark/>
          </w:tcPr>
          <w:p w14:paraId="50592188"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2"/>
            <w:tcBorders>
              <w:top w:val="nil"/>
              <w:left w:val="nil"/>
              <w:bottom w:val="nil"/>
              <w:right w:val="nil"/>
            </w:tcBorders>
            <w:vAlign w:val="center"/>
            <w:hideMark/>
          </w:tcPr>
          <w:p w14:paraId="06683600"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nil"/>
              <w:left w:val="nil"/>
              <w:bottom w:val="nil"/>
              <w:right w:val="nil"/>
            </w:tcBorders>
            <w:vAlign w:val="center"/>
            <w:hideMark/>
          </w:tcPr>
          <w:p w14:paraId="66EC5E70"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nil"/>
              <w:left w:val="nil"/>
              <w:bottom w:val="nil"/>
              <w:right w:val="nil"/>
            </w:tcBorders>
            <w:vAlign w:val="center"/>
            <w:hideMark/>
          </w:tcPr>
          <w:p w14:paraId="14EFD09F"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nil"/>
              <w:left w:val="nil"/>
              <w:bottom w:val="nil"/>
              <w:right w:val="nil"/>
            </w:tcBorders>
            <w:vAlign w:val="center"/>
            <w:hideMark/>
          </w:tcPr>
          <w:p w14:paraId="4F2326BF"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nil"/>
              <w:left w:val="nil"/>
              <w:bottom w:val="nil"/>
              <w:right w:val="nil"/>
            </w:tcBorders>
            <w:vAlign w:val="center"/>
            <w:hideMark/>
          </w:tcPr>
          <w:p w14:paraId="12925611"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4"/>
            <w:tcBorders>
              <w:top w:val="nil"/>
              <w:left w:val="nil"/>
              <w:bottom w:val="nil"/>
              <w:right w:val="nil"/>
            </w:tcBorders>
            <w:noWrap/>
            <w:vAlign w:val="center"/>
            <w:hideMark/>
          </w:tcPr>
          <w:p w14:paraId="12FC7424"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2"/>
            <w:tcBorders>
              <w:top w:val="nil"/>
              <w:left w:val="nil"/>
              <w:bottom w:val="nil"/>
              <w:right w:val="nil"/>
            </w:tcBorders>
            <w:noWrap/>
            <w:vAlign w:val="center"/>
            <w:hideMark/>
          </w:tcPr>
          <w:p w14:paraId="7A0031C3"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nil"/>
              <w:left w:val="nil"/>
              <w:bottom w:val="nil"/>
              <w:right w:val="nil"/>
            </w:tcBorders>
            <w:noWrap/>
            <w:vAlign w:val="center"/>
            <w:hideMark/>
          </w:tcPr>
          <w:p w14:paraId="7481F7E1"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nil"/>
              <w:left w:val="nil"/>
              <w:bottom w:val="nil"/>
              <w:right w:val="nil"/>
            </w:tcBorders>
            <w:noWrap/>
            <w:vAlign w:val="center"/>
            <w:hideMark/>
          </w:tcPr>
          <w:p w14:paraId="390F5E43"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5"/>
            <w:tcBorders>
              <w:top w:val="nil"/>
              <w:left w:val="nil"/>
              <w:bottom w:val="nil"/>
              <w:right w:val="nil"/>
            </w:tcBorders>
            <w:noWrap/>
            <w:vAlign w:val="center"/>
            <w:hideMark/>
          </w:tcPr>
          <w:p w14:paraId="1D9FFCFE"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2"/>
            <w:tcBorders>
              <w:top w:val="nil"/>
              <w:left w:val="nil"/>
              <w:bottom w:val="nil"/>
              <w:right w:val="nil"/>
            </w:tcBorders>
            <w:noWrap/>
            <w:vAlign w:val="center"/>
            <w:hideMark/>
          </w:tcPr>
          <w:p w14:paraId="1DB96F26"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2"/>
            <w:tcBorders>
              <w:top w:val="nil"/>
              <w:left w:val="nil"/>
              <w:bottom w:val="nil"/>
              <w:right w:val="single" w:sz="4" w:space="0" w:color="BFBFBF" w:themeColor="background1" w:themeShade="BF"/>
            </w:tcBorders>
            <w:noWrap/>
            <w:vAlign w:val="center"/>
            <w:hideMark/>
          </w:tcPr>
          <w:p w14:paraId="6DE9B43B"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r>
      <w:tr w:rsidR="00603217" w:rsidRPr="002150BE" w14:paraId="6C5B4B8D" w14:textId="77777777" w:rsidTr="002D2C4C">
        <w:trPr>
          <w:trHeight w:val="280"/>
        </w:trPr>
        <w:tc>
          <w:tcPr>
            <w:tcW w:w="0" w:type="auto"/>
            <w:tcBorders>
              <w:top w:val="nil"/>
              <w:left w:val="single" w:sz="4" w:space="0" w:color="BFBFBF" w:themeColor="background1" w:themeShade="BF"/>
              <w:bottom w:val="nil"/>
              <w:right w:val="nil"/>
            </w:tcBorders>
            <w:noWrap/>
            <w:vAlign w:val="center"/>
            <w:hideMark/>
          </w:tcPr>
          <w:p w14:paraId="52410F4F"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c>
          <w:tcPr>
            <w:tcW w:w="0" w:type="auto"/>
            <w:gridSpan w:val="26"/>
            <w:tcBorders>
              <w:top w:val="nil"/>
              <w:left w:val="nil"/>
              <w:bottom w:val="nil"/>
              <w:right w:val="single" w:sz="4" w:space="0" w:color="BFBFBF" w:themeColor="background1" w:themeShade="BF"/>
            </w:tcBorders>
            <w:vAlign w:val="center"/>
            <w:hideMark/>
          </w:tcPr>
          <w:p w14:paraId="24F52A0F"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xml:space="preserve">4. La información del padrón: </w:t>
            </w:r>
          </w:p>
        </w:tc>
      </w:tr>
      <w:tr w:rsidR="00BC7761" w:rsidRPr="002150BE" w14:paraId="6DBD775B" w14:textId="77777777" w:rsidTr="002D2C4C">
        <w:trPr>
          <w:trHeight w:val="280"/>
        </w:trPr>
        <w:tc>
          <w:tcPr>
            <w:tcW w:w="0" w:type="auto"/>
            <w:tcBorders>
              <w:top w:val="nil"/>
              <w:left w:val="single" w:sz="4" w:space="0" w:color="BFBFBF" w:themeColor="background1" w:themeShade="BF"/>
              <w:bottom w:val="nil"/>
              <w:right w:val="nil"/>
            </w:tcBorders>
            <w:noWrap/>
            <w:vAlign w:val="center"/>
            <w:hideMark/>
          </w:tcPr>
          <w:p w14:paraId="056E52B8" w14:textId="77777777" w:rsidR="00603217" w:rsidRPr="002150BE" w:rsidRDefault="00603217" w:rsidP="00603217">
            <w:pPr>
              <w:spacing w:after="0" w:line="240" w:lineRule="auto"/>
              <w:rPr>
                <w:rFonts w:asciiTheme="minorHAnsi" w:eastAsia="Times New Roman" w:hAnsiTheme="minorHAnsi" w:cstheme="minorHAnsi"/>
                <w:color w:val="000000"/>
                <w:sz w:val="14"/>
                <w:szCs w:val="14"/>
                <w:lang w:eastAsia="es-MX"/>
              </w:rPr>
            </w:pPr>
            <w:r w:rsidRPr="002150BE">
              <w:rPr>
                <w:rFonts w:asciiTheme="minorHAnsi" w:eastAsia="Times New Roman" w:hAnsiTheme="minorHAnsi" w:cstheme="minorHAnsi"/>
                <w:color w:val="000000"/>
                <w:sz w:val="14"/>
                <w:szCs w:val="14"/>
                <w:lang w:eastAsia="es-MX"/>
              </w:rPr>
              <w:t> </w:t>
            </w:r>
          </w:p>
        </w:tc>
        <w:tc>
          <w:tcPr>
            <w:tcW w:w="0" w:type="auto"/>
            <w:tcBorders>
              <w:top w:val="single" w:sz="4" w:space="0" w:color="595959"/>
              <w:left w:val="single" w:sz="4" w:space="0" w:color="595959"/>
              <w:bottom w:val="single" w:sz="4" w:space="0" w:color="595959"/>
              <w:right w:val="single" w:sz="4" w:space="0" w:color="595959"/>
            </w:tcBorders>
            <w:noWrap/>
            <w:vAlign w:val="center"/>
            <w:hideMark/>
          </w:tcPr>
          <w:p w14:paraId="7467FEEF" w14:textId="77777777" w:rsidR="00603217" w:rsidRPr="002150BE" w:rsidRDefault="00BC7761" w:rsidP="002D2C4C">
            <w:pPr>
              <w:spacing w:after="0" w:line="240" w:lineRule="auto"/>
              <w:jc w:val="center"/>
              <w:rPr>
                <w:rFonts w:asciiTheme="minorHAnsi" w:eastAsia="Times New Roman" w:hAnsiTheme="minorHAnsi" w:cstheme="minorHAnsi"/>
                <w:b/>
                <w:bCs/>
                <w:color w:val="000000"/>
                <w:sz w:val="14"/>
                <w:szCs w:val="14"/>
                <w:lang w:eastAsia="es-MX"/>
              </w:rPr>
            </w:pPr>
            <w:r w:rsidRPr="002150BE">
              <w:rPr>
                <w:rFonts w:asciiTheme="minorHAnsi" w:eastAsia="Times New Roman" w:hAnsiTheme="minorHAnsi" w:cstheme="minorHAnsi"/>
                <w:b/>
                <w:bCs/>
                <w:color w:val="000000"/>
                <w:sz w:val="14"/>
                <w:szCs w:val="14"/>
                <w:lang w:eastAsia="es-MX"/>
              </w:rPr>
              <w:t>X</w:t>
            </w:r>
          </w:p>
        </w:tc>
        <w:tc>
          <w:tcPr>
            <w:tcW w:w="0" w:type="auto"/>
            <w:gridSpan w:val="12"/>
            <w:tcBorders>
              <w:top w:val="nil"/>
              <w:left w:val="nil"/>
              <w:bottom w:val="nil"/>
              <w:right w:val="nil"/>
            </w:tcBorders>
            <w:noWrap/>
            <w:vAlign w:val="center"/>
            <w:hideMark/>
          </w:tcPr>
          <w:p w14:paraId="54AC0977" w14:textId="77777777" w:rsidR="00603217" w:rsidRPr="002150BE" w:rsidRDefault="00603217" w:rsidP="00603217">
            <w:pPr>
              <w:spacing w:after="0" w:line="240" w:lineRule="auto"/>
              <w:rPr>
                <w:rFonts w:asciiTheme="minorHAnsi" w:eastAsia="Times New Roman" w:hAnsiTheme="minorHAnsi" w:cstheme="minorHAnsi"/>
                <w:sz w:val="14"/>
                <w:szCs w:val="14"/>
                <w:lang w:eastAsia="es-MX"/>
              </w:rPr>
            </w:pPr>
            <w:r w:rsidRPr="002150BE">
              <w:rPr>
                <w:rFonts w:asciiTheme="minorHAnsi" w:eastAsia="Times New Roman" w:hAnsiTheme="minorHAnsi" w:cstheme="minorHAnsi"/>
                <w:color w:val="000000"/>
                <w:sz w:val="14"/>
                <w:szCs w:val="14"/>
                <w:lang w:eastAsia="es-MX"/>
              </w:rPr>
              <w:t>Está disponible para consulta interna.</w:t>
            </w:r>
          </w:p>
        </w:tc>
        <w:tc>
          <w:tcPr>
            <w:tcW w:w="0" w:type="auto"/>
            <w:gridSpan w:val="2"/>
            <w:tcBorders>
              <w:top w:val="nil"/>
              <w:left w:val="nil"/>
              <w:bottom w:val="nil"/>
              <w:right w:val="nil"/>
            </w:tcBorders>
            <w:noWrap/>
            <w:vAlign w:val="center"/>
            <w:hideMark/>
          </w:tcPr>
          <w:p w14:paraId="66F3F0C5" w14:textId="77777777" w:rsidR="00603217" w:rsidRPr="002150BE" w:rsidRDefault="00603217" w:rsidP="00603217">
            <w:pPr>
              <w:spacing w:after="0" w:line="240" w:lineRule="auto"/>
              <w:rPr>
                <w:rFonts w:asciiTheme="minorHAnsi" w:eastAsia="Times New Roman" w:hAnsiTheme="minorHAnsi" w:cstheme="minorHAnsi"/>
                <w:sz w:val="14"/>
                <w:szCs w:val="14"/>
                <w:lang w:eastAsia="es-MX"/>
              </w:rPr>
            </w:pPr>
          </w:p>
        </w:tc>
        <w:tc>
          <w:tcPr>
            <w:tcW w:w="0" w:type="auto"/>
            <w:tcBorders>
              <w:top w:val="nil"/>
              <w:left w:val="nil"/>
              <w:bottom w:val="nil"/>
              <w:right w:val="nil"/>
            </w:tcBorders>
            <w:vAlign w:val="center"/>
            <w:hideMark/>
          </w:tcPr>
          <w:p w14:paraId="3768ADE7" w14:textId="77777777" w:rsidR="00603217" w:rsidRPr="002150BE" w:rsidRDefault="00603217" w:rsidP="00603217">
            <w:pPr>
              <w:spacing w:after="0" w:line="240" w:lineRule="auto"/>
              <w:rPr>
                <w:rFonts w:asciiTheme="minorHAnsi" w:eastAsia="Times New Roman" w:hAnsiTheme="minorHAnsi" w:cstheme="minorHAnsi"/>
                <w:sz w:val="14"/>
                <w:szCs w:val="14"/>
                <w:lang w:eastAsia="es-MX"/>
              </w:rPr>
            </w:pPr>
          </w:p>
        </w:tc>
        <w:tc>
          <w:tcPr>
            <w:tcW w:w="0" w:type="auto"/>
            <w:tcBorders>
              <w:top w:val="nil"/>
              <w:left w:val="nil"/>
              <w:bottom w:val="nil"/>
              <w:right w:val="nil"/>
            </w:tcBorders>
            <w:vAlign w:val="center"/>
            <w:hideMark/>
          </w:tcPr>
          <w:p w14:paraId="45E445D1" w14:textId="77777777" w:rsidR="00603217" w:rsidRPr="002150BE" w:rsidRDefault="00603217" w:rsidP="00603217">
            <w:pPr>
              <w:spacing w:after="0" w:line="240" w:lineRule="auto"/>
              <w:rPr>
                <w:rFonts w:asciiTheme="minorHAnsi" w:eastAsia="Times New Roman" w:hAnsiTheme="minorHAnsi" w:cstheme="minorHAnsi"/>
                <w:sz w:val="14"/>
                <w:szCs w:val="14"/>
                <w:lang w:eastAsia="es-MX"/>
              </w:rPr>
            </w:pPr>
          </w:p>
        </w:tc>
        <w:tc>
          <w:tcPr>
            <w:tcW w:w="0" w:type="auto"/>
            <w:gridSpan w:val="5"/>
            <w:tcBorders>
              <w:top w:val="nil"/>
              <w:left w:val="nil"/>
              <w:bottom w:val="nil"/>
              <w:right w:val="nil"/>
            </w:tcBorders>
            <w:vAlign w:val="center"/>
            <w:hideMark/>
          </w:tcPr>
          <w:p w14:paraId="61574707" w14:textId="77777777" w:rsidR="00603217" w:rsidRPr="002150BE" w:rsidRDefault="00603217" w:rsidP="00603217">
            <w:pPr>
              <w:spacing w:after="0" w:line="240" w:lineRule="auto"/>
              <w:rPr>
                <w:rFonts w:asciiTheme="minorHAnsi" w:eastAsia="Times New Roman" w:hAnsiTheme="minorHAnsi" w:cstheme="minorHAnsi"/>
                <w:sz w:val="14"/>
                <w:szCs w:val="14"/>
                <w:lang w:eastAsia="es-MX"/>
              </w:rPr>
            </w:pPr>
          </w:p>
        </w:tc>
        <w:tc>
          <w:tcPr>
            <w:tcW w:w="0" w:type="auto"/>
            <w:gridSpan w:val="2"/>
            <w:tcBorders>
              <w:top w:val="nil"/>
              <w:left w:val="nil"/>
              <w:bottom w:val="nil"/>
              <w:right w:val="nil"/>
            </w:tcBorders>
            <w:vAlign w:val="center"/>
            <w:hideMark/>
          </w:tcPr>
          <w:p w14:paraId="6C4CCB28" w14:textId="77777777" w:rsidR="00603217" w:rsidRPr="002150BE" w:rsidRDefault="00603217" w:rsidP="00603217">
            <w:pPr>
              <w:spacing w:after="0" w:line="240" w:lineRule="auto"/>
              <w:rPr>
                <w:rFonts w:asciiTheme="minorHAnsi" w:eastAsia="Times New Roman" w:hAnsiTheme="minorHAnsi" w:cstheme="minorHAnsi"/>
                <w:sz w:val="14"/>
                <w:szCs w:val="14"/>
                <w:lang w:eastAsia="es-MX"/>
              </w:rPr>
            </w:pPr>
          </w:p>
        </w:tc>
        <w:tc>
          <w:tcPr>
            <w:tcW w:w="0" w:type="auto"/>
            <w:gridSpan w:val="2"/>
            <w:tcBorders>
              <w:top w:val="nil"/>
              <w:left w:val="nil"/>
              <w:bottom w:val="nil"/>
              <w:right w:val="single" w:sz="4" w:space="0" w:color="BFBFBF" w:themeColor="background1" w:themeShade="BF"/>
            </w:tcBorders>
            <w:noWrap/>
            <w:vAlign w:val="center"/>
            <w:hideMark/>
          </w:tcPr>
          <w:p w14:paraId="591AA1C9" w14:textId="77777777" w:rsidR="00603217" w:rsidRPr="002150BE" w:rsidRDefault="00603217" w:rsidP="00603217">
            <w:pPr>
              <w:spacing w:after="0" w:line="240" w:lineRule="auto"/>
              <w:rPr>
                <w:rFonts w:asciiTheme="minorHAnsi" w:eastAsia="Times New Roman" w:hAnsiTheme="minorHAnsi" w:cstheme="minorHAnsi"/>
                <w:color w:val="000000"/>
                <w:sz w:val="14"/>
                <w:szCs w:val="14"/>
                <w:lang w:eastAsia="es-MX"/>
              </w:rPr>
            </w:pPr>
            <w:r w:rsidRPr="002150BE">
              <w:rPr>
                <w:rFonts w:asciiTheme="minorHAnsi" w:eastAsia="Times New Roman" w:hAnsiTheme="minorHAnsi" w:cstheme="minorHAnsi"/>
                <w:color w:val="000000"/>
                <w:sz w:val="14"/>
                <w:szCs w:val="14"/>
                <w:lang w:eastAsia="es-MX"/>
              </w:rPr>
              <w:t> </w:t>
            </w:r>
          </w:p>
        </w:tc>
      </w:tr>
      <w:tr w:rsidR="00F323B5" w:rsidRPr="002150BE" w14:paraId="1E1EC433" w14:textId="77777777" w:rsidTr="002D2C4C">
        <w:trPr>
          <w:trHeight w:val="69"/>
        </w:trPr>
        <w:tc>
          <w:tcPr>
            <w:tcW w:w="0" w:type="auto"/>
            <w:tcBorders>
              <w:top w:val="nil"/>
              <w:left w:val="single" w:sz="4" w:space="0" w:color="BFBFBF" w:themeColor="background1" w:themeShade="BF"/>
              <w:bottom w:val="nil"/>
              <w:right w:val="nil"/>
            </w:tcBorders>
            <w:noWrap/>
            <w:vAlign w:val="center"/>
            <w:hideMark/>
          </w:tcPr>
          <w:p w14:paraId="1898C803"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c>
          <w:tcPr>
            <w:tcW w:w="0" w:type="auto"/>
            <w:tcBorders>
              <w:top w:val="nil"/>
              <w:left w:val="nil"/>
              <w:bottom w:val="single" w:sz="4" w:space="0" w:color="595959"/>
              <w:right w:val="nil"/>
            </w:tcBorders>
            <w:noWrap/>
            <w:vAlign w:val="center"/>
            <w:hideMark/>
          </w:tcPr>
          <w:p w14:paraId="383DC892"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p>
        </w:tc>
        <w:tc>
          <w:tcPr>
            <w:tcW w:w="0" w:type="auto"/>
            <w:tcBorders>
              <w:top w:val="nil"/>
              <w:left w:val="nil"/>
              <w:bottom w:val="nil"/>
              <w:right w:val="nil"/>
            </w:tcBorders>
            <w:noWrap/>
            <w:vAlign w:val="center"/>
            <w:hideMark/>
          </w:tcPr>
          <w:p w14:paraId="35446CB2"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nil"/>
              <w:left w:val="nil"/>
              <w:bottom w:val="nil"/>
              <w:right w:val="nil"/>
            </w:tcBorders>
            <w:noWrap/>
            <w:vAlign w:val="center"/>
            <w:hideMark/>
          </w:tcPr>
          <w:p w14:paraId="1D0AB279"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2"/>
            <w:tcBorders>
              <w:top w:val="nil"/>
              <w:left w:val="nil"/>
              <w:bottom w:val="nil"/>
              <w:right w:val="nil"/>
            </w:tcBorders>
            <w:noWrap/>
            <w:vAlign w:val="center"/>
            <w:hideMark/>
          </w:tcPr>
          <w:p w14:paraId="3E6D7C36"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nil"/>
              <w:left w:val="nil"/>
              <w:bottom w:val="nil"/>
              <w:right w:val="nil"/>
            </w:tcBorders>
            <w:noWrap/>
            <w:vAlign w:val="center"/>
            <w:hideMark/>
          </w:tcPr>
          <w:p w14:paraId="0942FC90"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nil"/>
              <w:left w:val="nil"/>
              <w:bottom w:val="nil"/>
              <w:right w:val="nil"/>
            </w:tcBorders>
            <w:noWrap/>
            <w:vAlign w:val="center"/>
            <w:hideMark/>
          </w:tcPr>
          <w:p w14:paraId="69DFC4BA"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nil"/>
              <w:left w:val="nil"/>
              <w:bottom w:val="nil"/>
              <w:right w:val="nil"/>
            </w:tcBorders>
            <w:noWrap/>
            <w:vAlign w:val="center"/>
            <w:hideMark/>
          </w:tcPr>
          <w:p w14:paraId="488AF80D"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nil"/>
              <w:left w:val="nil"/>
              <w:bottom w:val="nil"/>
              <w:right w:val="nil"/>
            </w:tcBorders>
            <w:noWrap/>
            <w:vAlign w:val="center"/>
            <w:hideMark/>
          </w:tcPr>
          <w:p w14:paraId="165AD474"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4"/>
            <w:tcBorders>
              <w:top w:val="nil"/>
              <w:left w:val="nil"/>
              <w:bottom w:val="nil"/>
              <w:right w:val="nil"/>
            </w:tcBorders>
            <w:noWrap/>
            <w:vAlign w:val="center"/>
            <w:hideMark/>
          </w:tcPr>
          <w:p w14:paraId="359535CA"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2"/>
            <w:tcBorders>
              <w:top w:val="nil"/>
              <w:left w:val="nil"/>
              <w:bottom w:val="nil"/>
              <w:right w:val="nil"/>
            </w:tcBorders>
            <w:noWrap/>
            <w:vAlign w:val="center"/>
            <w:hideMark/>
          </w:tcPr>
          <w:p w14:paraId="383D6372"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nil"/>
              <w:left w:val="nil"/>
              <w:bottom w:val="nil"/>
              <w:right w:val="nil"/>
            </w:tcBorders>
            <w:vAlign w:val="center"/>
            <w:hideMark/>
          </w:tcPr>
          <w:p w14:paraId="261CD6D2"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nil"/>
              <w:left w:val="nil"/>
              <w:bottom w:val="nil"/>
              <w:right w:val="nil"/>
            </w:tcBorders>
            <w:vAlign w:val="center"/>
            <w:hideMark/>
          </w:tcPr>
          <w:p w14:paraId="3B69F7ED"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5"/>
            <w:tcBorders>
              <w:top w:val="nil"/>
              <w:left w:val="nil"/>
              <w:bottom w:val="nil"/>
              <w:right w:val="nil"/>
            </w:tcBorders>
            <w:vAlign w:val="center"/>
            <w:hideMark/>
          </w:tcPr>
          <w:p w14:paraId="6B591D6E"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2"/>
            <w:tcBorders>
              <w:top w:val="nil"/>
              <w:left w:val="nil"/>
              <w:bottom w:val="nil"/>
              <w:right w:val="nil"/>
            </w:tcBorders>
            <w:vAlign w:val="center"/>
            <w:hideMark/>
          </w:tcPr>
          <w:p w14:paraId="54CAF919"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2"/>
            <w:tcBorders>
              <w:top w:val="nil"/>
              <w:left w:val="nil"/>
              <w:bottom w:val="nil"/>
              <w:right w:val="single" w:sz="4" w:space="0" w:color="BFBFBF" w:themeColor="background1" w:themeShade="BF"/>
            </w:tcBorders>
            <w:noWrap/>
            <w:vAlign w:val="center"/>
            <w:hideMark/>
          </w:tcPr>
          <w:p w14:paraId="09C322E8"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r>
      <w:tr w:rsidR="00BC7761" w:rsidRPr="002150BE" w14:paraId="3361483C" w14:textId="77777777" w:rsidTr="002D2C4C">
        <w:trPr>
          <w:trHeight w:val="269"/>
        </w:trPr>
        <w:tc>
          <w:tcPr>
            <w:tcW w:w="0" w:type="auto"/>
            <w:tcBorders>
              <w:top w:val="nil"/>
              <w:left w:val="single" w:sz="4" w:space="0" w:color="BFBFBF" w:themeColor="background1" w:themeShade="BF"/>
              <w:bottom w:val="nil"/>
              <w:right w:val="nil"/>
            </w:tcBorders>
            <w:noWrap/>
            <w:vAlign w:val="center"/>
            <w:hideMark/>
          </w:tcPr>
          <w:p w14:paraId="1D59888F"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c>
          <w:tcPr>
            <w:tcW w:w="0" w:type="auto"/>
            <w:tcBorders>
              <w:top w:val="single" w:sz="4" w:space="0" w:color="595959"/>
              <w:left w:val="single" w:sz="4" w:space="0" w:color="595959"/>
              <w:bottom w:val="single" w:sz="4" w:space="0" w:color="auto"/>
              <w:right w:val="single" w:sz="4" w:space="0" w:color="595959"/>
            </w:tcBorders>
            <w:noWrap/>
            <w:vAlign w:val="center"/>
            <w:hideMark/>
          </w:tcPr>
          <w:p w14:paraId="0ED899FD"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c>
          <w:tcPr>
            <w:tcW w:w="0" w:type="auto"/>
            <w:gridSpan w:val="14"/>
            <w:tcBorders>
              <w:top w:val="nil"/>
              <w:left w:val="nil"/>
              <w:bottom w:val="nil"/>
              <w:right w:val="nil"/>
            </w:tcBorders>
            <w:noWrap/>
            <w:vAlign w:val="center"/>
            <w:hideMark/>
          </w:tcPr>
          <w:p w14:paraId="26982FB1" w14:textId="77777777" w:rsidR="00603217" w:rsidRPr="002150BE" w:rsidRDefault="00603217" w:rsidP="00603217">
            <w:pPr>
              <w:spacing w:after="0" w:line="240" w:lineRule="auto"/>
              <w:rPr>
                <w:rFonts w:asciiTheme="minorHAnsi" w:eastAsia="Times New Roman" w:hAnsiTheme="minorHAnsi" w:cstheme="minorHAnsi"/>
                <w:i/>
                <w:iCs/>
                <w:color w:val="000000"/>
                <w:sz w:val="16"/>
                <w:szCs w:val="16"/>
                <w:lang w:eastAsia="es-MX"/>
              </w:rPr>
            </w:pPr>
            <w:r w:rsidRPr="002150BE">
              <w:rPr>
                <w:rFonts w:asciiTheme="minorHAnsi" w:eastAsia="Times New Roman" w:hAnsiTheme="minorHAnsi" w:cstheme="minorHAnsi"/>
                <w:color w:val="000000"/>
                <w:sz w:val="16"/>
                <w:szCs w:val="16"/>
                <w:lang w:eastAsia="es-MX"/>
              </w:rPr>
              <w:t>Está disponible para consulta pública.</w:t>
            </w:r>
          </w:p>
        </w:tc>
        <w:tc>
          <w:tcPr>
            <w:tcW w:w="0" w:type="auto"/>
            <w:gridSpan w:val="9"/>
            <w:tcBorders>
              <w:top w:val="nil"/>
              <w:left w:val="nil"/>
              <w:bottom w:val="single" w:sz="4" w:space="0" w:color="595959"/>
              <w:right w:val="nil"/>
            </w:tcBorders>
            <w:noWrap/>
            <w:vAlign w:val="center"/>
            <w:hideMark/>
          </w:tcPr>
          <w:p w14:paraId="376A564B"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i/>
                <w:iCs/>
                <w:color w:val="000000"/>
                <w:sz w:val="16"/>
                <w:szCs w:val="16"/>
                <w:lang w:eastAsia="es-MX"/>
              </w:rPr>
              <w:t>Indique la liga del sitio web:</w:t>
            </w:r>
          </w:p>
        </w:tc>
        <w:tc>
          <w:tcPr>
            <w:tcW w:w="0" w:type="auto"/>
            <w:gridSpan w:val="2"/>
            <w:tcBorders>
              <w:top w:val="nil"/>
              <w:left w:val="nil"/>
              <w:bottom w:val="nil"/>
              <w:right w:val="single" w:sz="4" w:space="0" w:color="BFBFBF" w:themeColor="background1" w:themeShade="BF"/>
            </w:tcBorders>
            <w:noWrap/>
            <w:vAlign w:val="center"/>
            <w:hideMark/>
          </w:tcPr>
          <w:p w14:paraId="057D4F8B"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r>
      <w:tr w:rsidR="00BC7761" w:rsidRPr="002150BE" w14:paraId="58F1F5F9" w14:textId="77777777" w:rsidTr="000A4BBB">
        <w:trPr>
          <w:trHeight w:val="77"/>
        </w:trPr>
        <w:tc>
          <w:tcPr>
            <w:tcW w:w="0" w:type="auto"/>
            <w:tcBorders>
              <w:top w:val="nil"/>
              <w:left w:val="single" w:sz="4" w:space="0" w:color="BFBFBF" w:themeColor="background1" w:themeShade="BF"/>
              <w:bottom w:val="single" w:sz="4" w:space="0" w:color="BFBFBF" w:themeColor="background1" w:themeShade="BF"/>
            </w:tcBorders>
            <w:noWrap/>
            <w:vAlign w:val="center"/>
          </w:tcPr>
          <w:p w14:paraId="361CFD3D"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p>
        </w:tc>
        <w:tc>
          <w:tcPr>
            <w:tcW w:w="0" w:type="auto"/>
            <w:tcBorders>
              <w:top w:val="single" w:sz="4" w:space="0" w:color="auto"/>
              <w:bottom w:val="single" w:sz="4" w:space="0" w:color="BFBFBF" w:themeColor="background1" w:themeShade="BF"/>
            </w:tcBorders>
            <w:noWrap/>
            <w:vAlign w:val="center"/>
          </w:tcPr>
          <w:p w14:paraId="112BE607"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p>
        </w:tc>
        <w:tc>
          <w:tcPr>
            <w:tcW w:w="0" w:type="auto"/>
            <w:gridSpan w:val="14"/>
            <w:tcBorders>
              <w:top w:val="nil"/>
              <w:left w:val="nil"/>
              <w:bottom w:val="single" w:sz="4" w:space="0" w:color="BFBFBF" w:themeColor="background1" w:themeShade="BF"/>
              <w:right w:val="nil"/>
            </w:tcBorders>
            <w:noWrap/>
            <w:vAlign w:val="center"/>
          </w:tcPr>
          <w:p w14:paraId="5C245E5A"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p>
        </w:tc>
        <w:tc>
          <w:tcPr>
            <w:tcW w:w="0" w:type="auto"/>
            <w:gridSpan w:val="9"/>
            <w:tcBorders>
              <w:top w:val="nil"/>
              <w:left w:val="nil"/>
              <w:bottom w:val="single" w:sz="4" w:space="0" w:color="BFBFBF" w:themeColor="background1" w:themeShade="BF"/>
              <w:right w:val="nil"/>
            </w:tcBorders>
            <w:noWrap/>
            <w:vAlign w:val="center"/>
          </w:tcPr>
          <w:p w14:paraId="7A448B4B" w14:textId="77777777" w:rsidR="00603217" w:rsidRPr="002150BE" w:rsidRDefault="00603217" w:rsidP="00603217">
            <w:pPr>
              <w:spacing w:after="0" w:line="240" w:lineRule="auto"/>
              <w:rPr>
                <w:rFonts w:asciiTheme="minorHAnsi" w:eastAsia="Times New Roman" w:hAnsiTheme="minorHAnsi" w:cstheme="minorHAnsi"/>
                <w:i/>
                <w:iCs/>
                <w:color w:val="000000"/>
                <w:sz w:val="16"/>
                <w:szCs w:val="16"/>
                <w:lang w:eastAsia="es-MX"/>
              </w:rPr>
            </w:pPr>
          </w:p>
        </w:tc>
        <w:tc>
          <w:tcPr>
            <w:tcW w:w="0" w:type="auto"/>
            <w:gridSpan w:val="2"/>
            <w:tcBorders>
              <w:top w:val="nil"/>
              <w:left w:val="nil"/>
              <w:bottom w:val="single" w:sz="4" w:space="0" w:color="BFBFBF" w:themeColor="background1" w:themeShade="BF"/>
              <w:right w:val="single" w:sz="4" w:space="0" w:color="BFBFBF" w:themeColor="background1" w:themeShade="BF"/>
            </w:tcBorders>
            <w:noWrap/>
            <w:vAlign w:val="center"/>
          </w:tcPr>
          <w:p w14:paraId="32A0ABF7"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p>
        </w:tc>
      </w:tr>
      <w:tr w:rsidR="00603217" w:rsidRPr="002150BE" w14:paraId="36053F21" w14:textId="77777777" w:rsidTr="002D2C4C">
        <w:trPr>
          <w:trHeight w:val="238"/>
        </w:trPr>
        <w:tc>
          <w:tcPr>
            <w:tcW w:w="0" w:type="auto"/>
            <w:gridSpan w:val="2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F7F7F" w:themeFill="text1" w:themeFillTint="80"/>
            <w:noWrap/>
            <w:vAlign w:val="center"/>
            <w:hideMark/>
          </w:tcPr>
          <w:p w14:paraId="55764A17" w14:textId="77777777" w:rsidR="00603217" w:rsidRPr="002150BE" w:rsidRDefault="00603217" w:rsidP="00603217">
            <w:pPr>
              <w:spacing w:after="0" w:line="240" w:lineRule="auto"/>
              <w:jc w:val="center"/>
              <w:rPr>
                <w:rFonts w:asciiTheme="minorHAnsi" w:eastAsia="Times New Roman" w:hAnsiTheme="minorHAnsi" w:cstheme="minorHAnsi"/>
                <w:b/>
                <w:bCs/>
                <w:color w:val="FFFFFF"/>
                <w:sz w:val="18"/>
                <w:szCs w:val="16"/>
                <w:lang w:eastAsia="es-MX"/>
              </w:rPr>
            </w:pPr>
            <w:r w:rsidRPr="002150BE">
              <w:rPr>
                <w:rFonts w:asciiTheme="minorHAnsi" w:eastAsia="Times New Roman" w:hAnsiTheme="minorHAnsi" w:cstheme="minorHAnsi"/>
                <w:b/>
                <w:bCs/>
                <w:color w:val="FFFFFF"/>
                <w:sz w:val="18"/>
                <w:szCs w:val="16"/>
                <w:lang w:eastAsia="es-MX"/>
              </w:rPr>
              <w:t>Seguridad de la información</w:t>
            </w:r>
          </w:p>
        </w:tc>
      </w:tr>
      <w:tr w:rsidR="00BC7761" w:rsidRPr="002150BE" w14:paraId="33C9FA73" w14:textId="77777777" w:rsidTr="002D2C4C">
        <w:trPr>
          <w:trHeight w:val="757"/>
        </w:trPr>
        <w:tc>
          <w:tcPr>
            <w:tcW w:w="0" w:type="auto"/>
            <w:tcBorders>
              <w:top w:val="single" w:sz="4" w:space="0" w:color="BFBFBF" w:themeColor="background1" w:themeShade="BF"/>
              <w:left w:val="single" w:sz="4" w:space="0" w:color="BFBFBF" w:themeColor="background1" w:themeShade="BF"/>
              <w:bottom w:val="nil"/>
              <w:right w:val="nil"/>
            </w:tcBorders>
            <w:noWrap/>
            <w:vAlign w:val="center"/>
            <w:hideMark/>
          </w:tcPr>
          <w:p w14:paraId="0253A89D"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c>
          <w:tcPr>
            <w:tcW w:w="0" w:type="auto"/>
            <w:gridSpan w:val="8"/>
            <w:tcBorders>
              <w:top w:val="single" w:sz="4" w:space="0" w:color="BFBFBF" w:themeColor="background1" w:themeShade="BF"/>
              <w:left w:val="nil"/>
              <w:bottom w:val="nil"/>
              <w:right w:val="nil"/>
            </w:tcBorders>
            <w:vAlign w:val="center"/>
            <w:hideMark/>
          </w:tcPr>
          <w:p w14:paraId="5E78376C"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5. La información del padrón, ¿contiene datos sensibles?</w:t>
            </w:r>
          </w:p>
        </w:tc>
        <w:tc>
          <w:tcPr>
            <w:tcW w:w="0" w:type="auto"/>
            <w:tcBorders>
              <w:top w:val="single" w:sz="4" w:space="0" w:color="BFBFBF" w:themeColor="background1" w:themeShade="BF"/>
              <w:left w:val="nil"/>
              <w:bottom w:val="nil"/>
              <w:right w:val="nil"/>
            </w:tcBorders>
            <w:vAlign w:val="center"/>
            <w:hideMark/>
          </w:tcPr>
          <w:p w14:paraId="44F30067"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p>
        </w:tc>
        <w:tc>
          <w:tcPr>
            <w:tcW w:w="0" w:type="auto"/>
            <w:gridSpan w:val="17"/>
            <w:tcBorders>
              <w:top w:val="single" w:sz="4" w:space="0" w:color="BFBFBF" w:themeColor="background1" w:themeShade="BF"/>
              <w:left w:val="nil"/>
              <w:bottom w:val="nil"/>
              <w:right w:val="single" w:sz="4" w:space="0" w:color="BFBFBF" w:themeColor="background1" w:themeShade="BF"/>
            </w:tcBorders>
            <w:vAlign w:val="center"/>
            <w:hideMark/>
          </w:tcPr>
          <w:p w14:paraId="39635BEA"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6. ¿El procedimiento contempla un mecanismo que garantice la seguridad de la información?</w:t>
            </w:r>
          </w:p>
        </w:tc>
      </w:tr>
      <w:tr w:rsidR="00F323B5" w:rsidRPr="002150BE" w14:paraId="3BD09095" w14:textId="77777777" w:rsidTr="002D2C4C">
        <w:trPr>
          <w:trHeight w:val="224"/>
        </w:trPr>
        <w:tc>
          <w:tcPr>
            <w:tcW w:w="0" w:type="auto"/>
            <w:tcBorders>
              <w:top w:val="nil"/>
              <w:left w:val="single" w:sz="4" w:space="0" w:color="BFBFBF" w:themeColor="background1" w:themeShade="BF"/>
              <w:bottom w:val="nil"/>
              <w:right w:val="nil"/>
            </w:tcBorders>
            <w:noWrap/>
            <w:vAlign w:val="center"/>
            <w:hideMark/>
          </w:tcPr>
          <w:p w14:paraId="6699CA78"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c>
          <w:tcPr>
            <w:tcW w:w="0" w:type="auto"/>
            <w:tcBorders>
              <w:top w:val="single" w:sz="4" w:space="0" w:color="595959"/>
              <w:left w:val="single" w:sz="4" w:space="0" w:color="595959"/>
              <w:bottom w:val="single" w:sz="4" w:space="0" w:color="595959"/>
              <w:right w:val="single" w:sz="4" w:space="0" w:color="595959"/>
            </w:tcBorders>
            <w:noWrap/>
            <w:vAlign w:val="center"/>
            <w:hideMark/>
          </w:tcPr>
          <w:p w14:paraId="34F93C61" w14:textId="77777777" w:rsidR="00603217" w:rsidRPr="002150BE" w:rsidRDefault="002D2C4C" w:rsidP="00603217">
            <w:pPr>
              <w:spacing w:after="0" w:line="240" w:lineRule="auto"/>
              <w:rPr>
                <w:rFonts w:asciiTheme="minorHAnsi" w:eastAsia="Times New Roman" w:hAnsiTheme="minorHAnsi" w:cstheme="minorHAnsi"/>
                <w:b/>
                <w:bCs/>
                <w:color w:val="000000"/>
                <w:sz w:val="16"/>
                <w:szCs w:val="16"/>
                <w:lang w:eastAsia="es-MX"/>
              </w:rPr>
            </w:pPr>
            <w:r w:rsidRPr="002150BE">
              <w:rPr>
                <w:rFonts w:asciiTheme="minorHAnsi" w:eastAsia="Times New Roman" w:hAnsiTheme="minorHAnsi" w:cstheme="minorHAnsi"/>
                <w:b/>
                <w:bCs/>
                <w:color w:val="000000"/>
                <w:sz w:val="16"/>
                <w:szCs w:val="16"/>
                <w:lang w:eastAsia="es-MX"/>
              </w:rPr>
              <w:t>X</w:t>
            </w:r>
          </w:p>
        </w:tc>
        <w:tc>
          <w:tcPr>
            <w:tcW w:w="0" w:type="auto"/>
            <w:tcBorders>
              <w:top w:val="nil"/>
              <w:left w:val="nil"/>
              <w:bottom w:val="nil"/>
              <w:right w:val="nil"/>
            </w:tcBorders>
            <w:noWrap/>
            <w:vAlign w:val="center"/>
            <w:hideMark/>
          </w:tcPr>
          <w:p w14:paraId="588E2676" w14:textId="77777777" w:rsidR="00603217" w:rsidRPr="002150BE" w:rsidRDefault="00603217" w:rsidP="00603217">
            <w:pPr>
              <w:spacing w:after="0" w:line="240" w:lineRule="auto"/>
              <w:jc w:val="center"/>
              <w:rPr>
                <w:rFonts w:asciiTheme="minorHAnsi" w:eastAsia="Times New Roman" w:hAnsiTheme="minorHAnsi" w:cstheme="minorHAnsi"/>
                <w:b/>
                <w:bCs/>
                <w:color w:val="000000"/>
                <w:sz w:val="16"/>
                <w:szCs w:val="16"/>
                <w:lang w:eastAsia="es-MX"/>
              </w:rPr>
            </w:pPr>
            <w:r w:rsidRPr="002150BE">
              <w:rPr>
                <w:rFonts w:asciiTheme="minorHAnsi" w:eastAsia="Times New Roman" w:hAnsiTheme="minorHAnsi" w:cstheme="minorHAnsi"/>
                <w:b/>
                <w:bCs/>
                <w:color w:val="000000"/>
                <w:sz w:val="16"/>
                <w:szCs w:val="16"/>
                <w:lang w:eastAsia="es-MX"/>
              </w:rPr>
              <w:t>Sí</w:t>
            </w:r>
          </w:p>
        </w:tc>
        <w:tc>
          <w:tcPr>
            <w:tcW w:w="0" w:type="auto"/>
            <w:tcBorders>
              <w:top w:val="nil"/>
              <w:left w:val="nil"/>
              <w:bottom w:val="nil"/>
              <w:right w:val="nil"/>
            </w:tcBorders>
            <w:noWrap/>
            <w:vAlign w:val="center"/>
            <w:hideMark/>
          </w:tcPr>
          <w:p w14:paraId="606652CF" w14:textId="77777777" w:rsidR="00603217" w:rsidRPr="002150BE" w:rsidRDefault="00603217" w:rsidP="00603217">
            <w:pPr>
              <w:spacing w:after="0" w:line="240" w:lineRule="auto"/>
              <w:jc w:val="center"/>
              <w:rPr>
                <w:rFonts w:asciiTheme="minorHAnsi" w:eastAsia="Times New Roman" w:hAnsiTheme="minorHAnsi" w:cstheme="minorHAnsi"/>
                <w:b/>
                <w:bCs/>
                <w:color w:val="000000"/>
                <w:sz w:val="16"/>
                <w:szCs w:val="16"/>
                <w:lang w:eastAsia="es-MX"/>
              </w:rPr>
            </w:pPr>
          </w:p>
        </w:tc>
        <w:tc>
          <w:tcPr>
            <w:tcW w:w="0" w:type="auto"/>
            <w:gridSpan w:val="2"/>
            <w:tcBorders>
              <w:top w:val="nil"/>
              <w:left w:val="nil"/>
              <w:bottom w:val="nil"/>
              <w:right w:val="nil"/>
            </w:tcBorders>
            <w:noWrap/>
            <w:vAlign w:val="center"/>
            <w:hideMark/>
          </w:tcPr>
          <w:p w14:paraId="5083B626" w14:textId="77777777" w:rsidR="00603217" w:rsidRPr="002150BE" w:rsidRDefault="00603217" w:rsidP="00603217">
            <w:pPr>
              <w:spacing w:after="0" w:line="240" w:lineRule="auto"/>
              <w:rPr>
                <w:rFonts w:asciiTheme="minorHAnsi" w:eastAsia="Times New Roman" w:hAnsiTheme="minorHAnsi" w:cstheme="minorHAnsi"/>
                <w:b/>
                <w:bCs/>
                <w:sz w:val="16"/>
                <w:szCs w:val="16"/>
                <w:lang w:eastAsia="es-MX"/>
              </w:rPr>
            </w:pPr>
          </w:p>
        </w:tc>
        <w:tc>
          <w:tcPr>
            <w:tcW w:w="0" w:type="auto"/>
            <w:tcBorders>
              <w:top w:val="nil"/>
              <w:left w:val="nil"/>
              <w:bottom w:val="nil"/>
              <w:right w:val="nil"/>
            </w:tcBorders>
            <w:noWrap/>
            <w:vAlign w:val="center"/>
            <w:hideMark/>
          </w:tcPr>
          <w:p w14:paraId="67EFBFAC" w14:textId="77777777" w:rsidR="00603217" w:rsidRPr="002150BE" w:rsidRDefault="00603217" w:rsidP="00603217">
            <w:pPr>
              <w:spacing w:after="0" w:line="240" w:lineRule="auto"/>
              <w:rPr>
                <w:rFonts w:asciiTheme="minorHAnsi" w:eastAsia="Times New Roman" w:hAnsiTheme="minorHAnsi" w:cstheme="minorHAnsi"/>
                <w:b/>
                <w:bCs/>
                <w:sz w:val="16"/>
                <w:szCs w:val="16"/>
                <w:lang w:eastAsia="es-MX"/>
              </w:rPr>
            </w:pPr>
          </w:p>
        </w:tc>
        <w:tc>
          <w:tcPr>
            <w:tcW w:w="0" w:type="auto"/>
            <w:tcBorders>
              <w:top w:val="nil"/>
              <w:left w:val="nil"/>
              <w:bottom w:val="nil"/>
              <w:right w:val="nil"/>
            </w:tcBorders>
            <w:noWrap/>
            <w:vAlign w:val="center"/>
            <w:hideMark/>
          </w:tcPr>
          <w:p w14:paraId="73990A97" w14:textId="77777777" w:rsidR="00603217" w:rsidRPr="002150BE" w:rsidRDefault="00603217" w:rsidP="00603217">
            <w:pPr>
              <w:spacing w:after="0" w:line="240" w:lineRule="auto"/>
              <w:rPr>
                <w:rFonts w:asciiTheme="minorHAnsi" w:eastAsia="Times New Roman" w:hAnsiTheme="minorHAnsi" w:cstheme="minorHAnsi"/>
                <w:b/>
                <w:bCs/>
                <w:sz w:val="16"/>
                <w:szCs w:val="16"/>
                <w:lang w:eastAsia="es-MX"/>
              </w:rPr>
            </w:pPr>
          </w:p>
        </w:tc>
        <w:tc>
          <w:tcPr>
            <w:tcW w:w="0" w:type="auto"/>
            <w:tcBorders>
              <w:top w:val="nil"/>
              <w:left w:val="nil"/>
              <w:bottom w:val="nil"/>
              <w:right w:val="nil"/>
            </w:tcBorders>
            <w:noWrap/>
            <w:vAlign w:val="center"/>
            <w:hideMark/>
          </w:tcPr>
          <w:p w14:paraId="51382C47" w14:textId="77777777" w:rsidR="00603217" w:rsidRPr="002150BE" w:rsidRDefault="00603217" w:rsidP="00603217">
            <w:pPr>
              <w:spacing w:after="0" w:line="240" w:lineRule="auto"/>
              <w:rPr>
                <w:rFonts w:asciiTheme="minorHAnsi" w:eastAsia="Times New Roman" w:hAnsiTheme="minorHAnsi" w:cstheme="minorHAnsi"/>
                <w:b/>
                <w:bCs/>
                <w:sz w:val="16"/>
                <w:szCs w:val="16"/>
                <w:lang w:eastAsia="es-MX"/>
              </w:rPr>
            </w:pPr>
          </w:p>
        </w:tc>
        <w:tc>
          <w:tcPr>
            <w:tcW w:w="0" w:type="auto"/>
            <w:tcBorders>
              <w:top w:val="nil"/>
              <w:left w:val="nil"/>
              <w:bottom w:val="nil"/>
              <w:right w:val="nil"/>
            </w:tcBorders>
            <w:noWrap/>
            <w:vAlign w:val="center"/>
            <w:hideMark/>
          </w:tcPr>
          <w:p w14:paraId="73078F82" w14:textId="77777777" w:rsidR="00603217" w:rsidRPr="002150BE" w:rsidRDefault="00603217" w:rsidP="00603217">
            <w:pPr>
              <w:spacing w:after="0" w:line="240" w:lineRule="auto"/>
              <w:rPr>
                <w:rFonts w:asciiTheme="minorHAnsi" w:eastAsia="Times New Roman" w:hAnsiTheme="minorHAnsi" w:cstheme="minorHAnsi"/>
                <w:b/>
                <w:bCs/>
                <w:sz w:val="16"/>
                <w:szCs w:val="16"/>
                <w:lang w:eastAsia="es-MX"/>
              </w:rPr>
            </w:pPr>
          </w:p>
        </w:tc>
        <w:tc>
          <w:tcPr>
            <w:tcW w:w="0" w:type="auto"/>
            <w:gridSpan w:val="3"/>
            <w:tcBorders>
              <w:top w:val="single" w:sz="4" w:space="0" w:color="595959"/>
              <w:left w:val="single" w:sz="4" w:space="0" w:color="595959"/>
              <w:bottom w:val="single" w:sz="4" w:space="0" w:color="595959"/>
              <w:right w:val="single" w:sz="4" w:space="0" w:color="595959"/>
            </w:tcBorders>
            <w:noWrap/>
            <w:vAlign w:val="center"/>
            <w:hideMark/>
          </w:tcPr>
          <w:p w14:paraId="041967C4" w14:textId="77777777" w:rsidR="00603217" w:rsidRPr="002150BE" w:rsidRDefault="002D2C4C" w:rsidP="002D2C4C">
            <w:pPr>
              <w:spacing w:after="0" w:line="240" w:lineRule="auto"/>
              <w:jc w:val="center"/>
              <w:rPr>
                <w:rFonts w:asciiTheme="minorHAnsi" w:eastAsia="Times New Roman" w:hAnsiTheme="minorHAnsi" w:cstheme="minorHAnsi"/>
                <w:b/>
                <w:bCs/>
                <w:color w:val="000000"/>
                <w:sz w:val="16"/>
                <w:szCs w:val="16"/>
                <w:lang w:eastAsia="es-MX"/>
              </w:rPr>
            </w:pPr>
            <w:r w:rsidRPr="002150BE">
              <w:rPr>
                <w:rFonts w:asciiTheme="minorHAnsi" w:eastAsia="Times New Roman" w:hAnsiTheme="minorHAnsi" w:cstheme="minorHAnsi"/>
                <w:b/>
                <w:bCs/>
                <w:color w:val="000000"/>
                <w:sz w:val="16"/>
                <w:szCs w:val="16"/>
                <w:lang w:eastAsia="es-MX"/>
              </w:rPr>
              <w:t>X</w:t>
            </w:r>
          </w:p>
        </w:tc>
        <w:tc>
          <w:tcPr>
            <w:tcW w:w="0" w:type="auto"/>
            <w:gridSpan w:val="3"/>
            <w:tcBorders>
              <w:top w:val="nil"/>
              <w:left w:val="nil"/>
              <w:bottom w:val="nil"/>
              <w:right w:val="nil"/>
            </w:tcBorders>
            <w:noWrap/>
            <w:vAlign w:val="center"/>
            <w:hideMark/>
          </w:tcPr>
          <w:p w14:paraId="5DAE6F4B"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Sí</w:t>
            </w:r>
          </w:p>
        </w:tc>
        <w:tc>
          <w:tcPr>
            <w:tcW w:w="0" w:type="auto"/>
            <w:tcBorders>
              <w:top w:val="nil"/>
              <w:left w:val="nil"/>
              <w:bottom w:val="nil"/>
              <w:right w:val="nil"/>
            </w:tcBorders>
            <w:noWrap/>
            <w:vAlign w:val="center"/>
            <w:hideMark/>
          </w:tcPr>
          <w:p w14:paraId="07F066B8" w14:textId="77777777" w:rsidR="00603217" w:rsidRPr="002150BE" w:rsidRDefault="00603217" w:rsidP="00603217">
            <w:pPr>
              <w:spacing w:after="0" w:line="240" w:lineRule="auto"/>
              <w:jc w:val="center"/>
              <w:rPr>
                <w:rFonts w:asciiTheme="minorHAnsi" w:eastAsia="Times New Roman" w:hAnsiTheme="minorHAnsi" w:cstheme="minorHAnsi"/>
                <w:color w:val="000000"/>
                <w:sz w:val="16"/>
                <w:szCs w:val="16"/>
                <w:lang w:eastAsia="es-MX"/>
              </w:rPr>
            </w:pPr>
          </w:p>
        </w:tc>
        <w:tc>
          <w:tcPr>
            <w:tcW w:w="0" w:type="auto"/>
            <w:tcBorders>
              <w:top w:val="nil"/>
              <w:left w:val="nil"/>
              <w:bottom w:val="nil"/>
              <w:right w:val="nil"/>
            </w:tcBorders>
            <w:noWrap/>
            <w:vAlign w:val="center"/>
            <w:hideMark/>
          </w:tcPr>
          <w:p w14:paraId="2CA1457C"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5"/>
            <w:tcBorders>
              <w:top w:val="nil"/>
              <w:left w:val="nil"/>
              <w:bottom w:val="nil"/>
              <w:right w:val="nil"/>
            </w:tcBorders>
            <w:noWrap/>
            <w:vAlign w:val="center"/>
            <w:hideMark/>
          </w:tcPr>
          <w:p w14:paraId="41F37911"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2"/>
            <w:tcBorders>
              <w:top w:val="nil"/>
              <w:left w:val="nil"/>
              <w:bottom w:val="nil"/>
              <w:right w:val="nil"/>
            </w:tcBorders>
            <w:noWrap/>
            <w:vAlign w:val="center"/>
            <w:hideMark/>
          </w:tcPr>
          <w:p w14:paraId="347864E8"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2"/>
            <w:tcBorders>
              <w:top w:val="nil"/>
              <w:left w:val="nil"/>
              <w:bottom w:val="nil"/>
              <w:right w:val="single" w:sz="4" w:space="0" w:color="BFBFBF" w:themeColor="background1" w:themeShade="BF"/>
            </w:tcBorders>
            <w:noWrap/>
            <w:vAlign w:val="center"/>
            <w:hideMark/>
          </w:tcPr>
          <w:p w14:paraId="09C3E90F"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r>
      <w:tr w:rsidR="00F323B5" w:rsidRPr="002150BE" w14:paraId="103D96EC" w14:textId="77777777" w:rsidTr="002D2C4C">
        <w:trPr>
          <w:trHeight w:val="69"/>
        </w:trPr>
        <w:tc>
          <w:tcPr>
            <w:tcW w:w="0" w:type="auto"/>
            <w:tcBorders>
              <w:top w:val="nil"/>
              <w:left w:val="single" w:sz="4" w:space="0" w:color="BFBFBF" w:themeColor="background1" w:themeShade="BF"/>
              <w:bottom w:val="nil"/>
              <w:right w:val="nil"/>
            </w:tcBorders>
            <w:noWrap/>
            <w:vAlign w:val="center"/>
            <w:hideMark/>
          </w:tcPr>
          <w:p w14:paraId="4B477D71"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c>
          <w:tcPr>
            <w:tcW w:w="0" w:type="auto"/>
            <w:tcBorders>
              <w:top w:val="nil"/>
              <w:left w:val="nil"/>
              <w:bottom w:val="nil"/>
              <w:right w:val="nil"/>
            </w:tcBorders>
            <w:vAlign w:val="center"/>
            <w:hideMark/>
          </w:tcPr>
          <w:p w14:paraId="10A445AD"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p>
        </w:tc>
        <w:tc>
          <w:tcPr>
            <w:tcW w:w="0" w:type="auto"/>
            <w:tcBorders>
              <w:top w:val="nil"/>
              <w:left w:val="nil"/>
              <w:bottom w:val="nil"/>
              <w:right w:val="nil"/>
            </w:tcBorders>
            <w:vAlign w:val="center"/>
            <w:hideMark/>
          </w:tcPr>
          <w:p w14:paraId="0911A75D"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nil"/>
              <w:left w:val="nil"/>
              <w:bottom w:val="nil"/>
              <w:right w:val="nil"/>
            </w:tcBorders>
            <w:noWrap/>
            <w:vAlign w:val="center"/>
            <w:hideMark/>
          </w:tcPr>
          <w:p w14:paraId="054E4007"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2"/>
            <w:tcBorders>
              <w:top w:val="nil"/>
              <w:left w:val="nil"/>
              <w:bottom w:val="nil"/>
              <w:right w:val="nil"/>
            </w:tcBorders>
            <w:noWrap/>
            <w:vAlign w:val="center"/>
            <w:hideMark/>
          </w:tcPr>
          <w:p w14:paraId="25FB0A96"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nil"/>
              <w:left w:val="nil"/>
              <w:bottom w:val="nil"/>
              <w:right w:val="nil"/>
            </w:tcBorders>
            <w:noWrap/>
            <w:vAlign w:val="center"/>
            <w:hideMark/>
          </w:tcPr>
          <w:p w14:paraId="2AD1DF41"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nil"/>
              <w:left w:val="nil"/>
              <w:bottom w:val="nil"/>
              <w:right w:val="nil"/>
            </w:tcBorders>
            <w:noWrap/>
            <w:vAlign w:val="center"/>
            <w:hideMark/>
          </w:tcPr>
          <w:p w14:paraId="506E9462"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nil"/>
              <w:left w:val="nil"/>
              <w:bottom w:val="nil"/>
              <w:right w:val="nil"/>
            </w:tcBorders>
            <w:noWrap/>
            <w:vAlign w:val="center"/>
            <w:hideMark/>
          </w:tcPr>
          <w:p w14:paraId="3D3F504A"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nil"/>
              <w:left w:val="nil"/>
              <w:bottom w:val="nil"/>
              <w:right w:val="nil"/>
            </w:tcBorders>
            <w:noWrap/>
            <w:vAlign w:val="center"/>
            <w:hideMark/>
          </w:tcPr>
          <w:p w14:paraId="40F7F4CF"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3"/>
            <w:tcBorders>
              <w:top w:val="nil"/>
              <w:left w:val="nil"/>
              <w:bottom w:val="nil"/>
              <w:right w:val="nil"/>
            </w:tcBorders>
            <w:vAlign w:val="center"/>
            <w:hideMark/>
          </w:tcPr>
          <w:p w14:paraId="03777F72"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3"/>
            <w:tcBorders>
              <w:top w:val="nil"/>
              <w:left w:val="nil"/>
              <w:bottom w:val="nil"/>
              <w:right w:val="nil"/>
            </w:tcBorders>
            <w:vAlign w:val="center"/>
            <w:hideMark/>
          </w:tcPr>
          <w:p w14:paraId="1A60EE84"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nil"/>
              <w:left w:val="nil"/>
              <w:bottom w:val="nil"/>
              <w:right w:val="nil"/>
            </w:tcBorders>
            <w:noWrap/>
            <w:vAlign w:val="center"/>
            <w:hideMark/>
          </w:tcPr>
          <w:p w14:paraId="13AAF6FA"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nil"/>
              <w:left w:val="nil"/>
              <w:bottom w:val="nil"/>
              <w:right w:val="nil"/>
            </w:tcBorders>
            <w:noWrap/>
            <w:vAlign w:val="center"/>
            <w:hideMark/>
          </w:tcPr>
          <w:p w14:paraId="20D19111"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5"/>
            <w:tcBorders>
              <w:top w:val="nil"/>
              <w:left w:val="nil"/>
              <w:bottom w:val="nil"/>
              <w:right w:val="nil"/>
            </w:tcBorders>
            <w:noWrap/>
            <w:vAlign w:val="center"/>
            <w:hideMark/>
          </w:tcPr>
          <w:p w14:paraId="22B6EE27"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2"/>
            <w:tcBorders>
              <w:top w:val="nil"/>
              <w:left w:val="nil"/>
              <w:bottom w:val="nil"/>
              <w:right w:val="nil"/>
            </w:tcBorders>
            <w:noWrap/>
            <w:vAlign w:val="center"/>
            <w:hideMark/>
          </w:tcPr>
          <w:p w14:paraId="5EDB11C0"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2"/>
            <w:tcBorders>
              <w:top w:val="nil"/>
              <w:left w:val="nil"/>
              <w:bottom w:val="nil"/>
              <w:right w:val="single" w:sz="4" w:space="0" w:color="BFBFBF" w:themeColor="background1" w:themeShade="BF"/>
            </w:tcBorders>
            <w:noWrap/>
            <w:vAlign w:val="center"/>
            <w:hideMark/>
          </w:tcPr>
          <w:p w14:paraId="1544ECD0"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r>
      <w:tr w:rsidR="00F323B5" w:rsidRPr="002150BE" w14:paraId="48B589A1" w14:textId="77777777" w:rsidTr="002D2C4C">
        <w:trPr>
          <w:trHeight w:val="224"/>
        </w:trPr>
        <w:tc>
          <w:tcPr>
            <w:tcW w:w="0" w:type="auto"/>
            <w:tcBorders>
              <w:top w:val="nil"/>
              <w:left w:val="single" w:sz="4" w:space="0" w:color="BFBFBF" w:themeColor="background1" w:themeShade="BF"/>
              <w:bottom w:val="nil"/>
              <w:right w:val="nil"/>
            </w:tcBorders>
            <w:noWrap/>
            <w:vAlign w:val="center"/>
            <w:hideMark/>
          </w:tcPr>
          <w:p w14:paraId="25D3876B"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c>
          <w:tcPr>
            <w:tcW w:w="0" w:type="auto"/>
            <w:tcBorders>
              <w:top w:val="single" w:sz="4" w:space="0" w:color="595959"/>
              <w:left w:val="single" w:sz="4" w:space="0" w:color="595959"/>
              <w:bottom w:val="single" w:sz="4" w:space="0" w:color="595959"/>
              <w:right w:val="single" w:sz="4" w:space="0" w:color="595959"/>
            </w:tcBorders>
            <w:noWrap/>
            <w:vAlign w:val="center"/>
            <w:hideMark/>
          </w:tcPr>
          <w:p w14:paraId="3EFEE9BD"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c>
          <w:tcPr>
            <w:tcW w:w="0" w:type="auto"/>
            <w:tcBorders>
              <w:top w:val="nil"/>
              <w:left w:val="nil"/>
              <w:bottom w:val="nil"/>
              <w:right w:val="nil"/>
            </w:tcBorders>
            <w:noWrap/>
            <w:vAlign w:val="center"/>
            <w:hideMark/>
          </w:tcPr>
          <w:p w14:paraId="5459D7A4" w14:textId="77777777" w:rsidR="00603217" w:rsidRPr="002150BE" w:rsidRDefault="00603217" w:rsidP="00603217">
            <w:pPr>
              <w:spacing w:after="0" w:line="240" w:lineRule="auto"/>
              <w:jc w:val="center"/>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No</w:t>
            </w:r>
          </w:p>
        </w:tc>
        <w:tc>
          <w:tcPr>
            <w:tcW w:w="0" w:type="auto"/>
            <w:tcBorders>
              <w:top w:val="nil"/>
              <w:left w:val="nil"/>
              <w:bottom w:val="nil"/>
              <w:right w:val="nil"/>
            </w:tcBorders>
            <w:noWrap/>
            <w:vAlign w:val="center"/>
            <w:hideMark/>
          </w:tcPr>
          <w:p w14:paraId="15B2A292" w14:textId="77777777" w:rsidR="00603217" w:rsidRPr="002150BE" w:rsidRDefault="00603217" w:rsidP="00603217">
            <w:pPr>
              <w:spacing w:after="0" w:line="240" w:lineRule="auto"/>
              <w:jc w:val="center"/>
              <w:rPr>
                <w:rFonts w:asciiTheme="minorHAnsi" w:eastAsia="Times New Roman" w:hAnsiTheme="minorHAnsi" w:cstheme="minorHAnsi"/>
                <w:color w:val="000000"/>
                <w:sz w:val="16"/>
                <w:szCs w:val="16"/>
                <w:lang w:eastAsia="es-MX"/>
              </w:rPr>
            </w:pPr>
          </w:p>
        </w:tc>
        <w:tc>
          <w:tcPr>
            <w:tcW w:w="0" w:type="auto"/>
            <w:gridSpan w:val="2"/>
            <w:tcBorders>
              <w:top w:val="nil"/>
              <w:left w:val="nil"/>
              <w:bottom w:val="nil"/>
              <w:right w:val="nil"/>
            </w:tcBorders>
            <w:noWrap/>
            <w:vAlign w:val="center"/>
            <w:hideMark/>
          </w:tcPr>
          <w:p w14:paraId="0113756A"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nil"/>
              <w:left w:val="nil"/>
              <w:bottom w:val="nil"/>
              <w:right w:val="nil"/>
            </w:tcBorders>
            <w:noWrap/>
            <w:vAlign w:val="center"/>
            <w:hideMark/>
          </w:tcPr>
          <w:p w14:paraId="628C03BA"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nil"/>
              <w:left w:val="nil"/>
              <w:bottom w:val="nil"/>
              <w:right w:val="nil"/>
            </w:tcBorders>
            <w:noWrap/>
            <w:vAlign w:val="center"/>
            <w:hideMark/>
          </w:tcPr>
          <w:p w14:paraId="3077D475"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nil"/>
              <w:left w:val="nil"/>
              <w:bottom w:val="nil"/>
              <w:right w:val="nil"/>
            </w:tcBorders>
            <w:noWrap/>
            <w:vAlign w:val="center"/>
            <w:hideMark/>
          </w:tcPr>
          <w:p w14:paraId="001E624D"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nil"/>
              <w:left w:val="nil"/>
              <w:bottom w:val="nil"/>
              <w:right w:val="nil"/>
            </w:tcBorders>
            <w:noWrap/>
            <w:vAlign w:val="center"/>
            <w:hideMark/>
          </w:tcPr>
          <w:p w14:paraId="28ADD6A0"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3"/>
            <w:tcBorders>
              <w:top w:val="single" w:sz="4" w:space="0" w:color="595959"/>
              <w:left w:val="single" w:sz="4" w:space="0" w:color="595959"/>
              <w:bottom w:val="single" w:sz="4" w:space="0" w:color="595959"/>
              <w:right w:val="single" w:sz="4" w:space="0" w:color="595959"/>
            </w:tcBorders>
            <w:noWrap/>
            <w:vAlign w:val="center"/>
            <w:hideMark/>
          </w:tcPr>
          <w:p w14:paraId="300F89E0"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c>
          <w:tcPr>
            <w:tcW w:w="0" w:type="auto"/>
            <w:gridSpan w:val="3"/>
            <w:tcBorders>
              <w:top w:val="nil"/>
              <w:left w:val="nil"/>
              <w:bottom w:val="nil"/>
              <w:right w:val="nil"/>
            </w:tcBorders>
            <w:noWrap/>
            <w:vAlign w:val="center"/>
            <w:hideMark/>
          </w:tcPr>
          <w:p w14:paraId="5F291EC1"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No</w:t>
            </w:r>
          </w:p>
        </w:tc>
        <w:tc>
          <w:tcPr>
            <w:tcW w:w="0" w:type="auto"/>
            <w:tcBorders>
              <w:top w:val="nil"/>
              <w:left w:val="nil"/>
              <w:bottom w:val="nil"/>
              <w:right w:val="nil"/>
            </w:tcBorders>
            <w:noWrap/>
            <w:vAlign w:val="center"/>
            <w:hideMark/>
          </w:tcPr>
          <w:p w14:paraId="478DBDC9" w14:textId="77777777" w:rsidR="00603217" w:rsidRPr="002150BE" w:rsidRDefault="00603217" w:rsidP="00603217">
            <w:pPr>
              <w:spacing w:after="0" w:line="240" w:lineRule="auto"/>
              <w:jc w:val="center"/>
              <w:rPr>
                <w:rFonts w:asciiTheme="minorHAnsi" w:eastAsia="Times New Roman" w:hAnsiTheme="minorHAnsi" w:cstheme="minorHAnsi"/>
                <w:color w:val="000000"/>
                <w:sz w:val="16"/>
                <w:szCs w:val="16"/>
                <w:lang w:eastAsia="es-MX"/>
              </w:rPr>
            </w:pPr>
          </w:p>
        </w:tc>
        <w:tc>
          <w:tcPr>
            <w:tcW w:w="0" w:type="auto"/>
            <w:tcBorders>
              <w:top w:val="nil"/>
              <w:left w:val="nil"/>
              <w:bottom w:val="nil"/>
              <w:right w:val="nil"/>
            </w:tcBorders>
            <w:noWrap/>
            <w:vAlign w:val="center"/>
            <w:hideMark/>
          </w:tcPr>
          <w:p w14:paraId="23B6A289"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5"/>
            <w:tcBorders>
              <w:top w:val="nil"/>
              <w:left w:val="nil"/>
              <w:bottom w:val="nil"/>
              <w:right w:val="nil"/>
            </w:tcBorders>
            <w:noWrap/>
            <w:vAlign w:val="center"/>
            <w:hideMark/>
          </w:tcPr>
          <w:p w14:paraId="3086256E"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2"/>
            <w:tcBorders>
              <w:top w:val="nil"/>
              <w:left w:val="nil"/>
              <w:bottom w:val="nil"/>
              <w:right w:val="nil"/>
            </w:tcBorders>
            <w:noWrap/>
            <w:vAlign w:val="center"/>
            <w:hideMark/>
          </w:tcPr>
          <w:p w14:paraId="2556C7A0"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2"/>
            <w:tcBorders>
              <w:top w:val="nil"/>
              <w:left w:val="nil"/>
              <w:bottom w:val="nil"/>
              <w:right w:val="single" w:sz="4" w:space="0" w:color="BFBFBF" w:themeColor="background1" w:themeShade="BF"/>
            </w:tcBorders>
            <w:noWrap/>
            <w:vAlign w:val="center"/>
            <w:hideMark/>
          </w:tcPr>
          <w:p w14:paraId="0D3516BA"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r>
      <w:tr w:rsidR="00F323B5" w:rsidRPr="002150BE" w14:paraId="2AE9AF27" w14:textId="77777777" w:rsidTr="000A4BBB">
        <w:trPr>
          <w:trHeight w:val="77"/>
        </w:trPr>
        <w:tc>
          <w:tcPr>
            <w:tcW w:w="0" w:type="auto"/>
            <w:tcBorders>
              <w:top w:val="nil"/>
              <w:left w:val="single" w:sz="4" w:space="0" w:color="BFBFBF" w:themeColor="background1" w:themeShade="BF"/>
              <w:bottom w:val="nil"/>
              <w:right w:val="nil"/>
            </w:tcBorders>
            <w:noWrap/>
            <w:vAlign w:val="center"/>
            <w:hideMark/>
          </w:tcPr>
          <w:p w14:paraId="776DB7D5"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c>
          <w:tcPr>
            <w:tcW w:w="0" w:type="auto"/>
            <w:tcBorders>
              <w:top w:val="nil"/>
              <w:left w:val="nil"/>
              <w:bottom w:val="nil"/>
              <w:right w:val="nil"/>
            </w:tcBorders>
            <w:noWrap/>
            <w:vAlign w:val="center"/>
            <w:hideMark/>
          </w:tcPr>
          <w:p w14:paraId="4732581F"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p>
        </w:tc>
        <w:tc>
          <w:tcPr>
            <w:tcW w:w="0" w:type="auto"/>
            <w:tcBorders>
              <w:top w:val="nil"/>
              <w:left w:val="nil"/>
              <w:bottom w:val="nil"/>
              <w:right w:val="nil"/>
            </w:tcBorders>
            <w:noWrap/>
            <w:vAlign w:val="center"/>
            <w:hideMark/>
          </w:tcPr>
          <w:p w14:paraId="716B6CE8"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nil"/>
              <w:left w:val="nil"/>
              <w:bottom w:val="nil"/>
              <w:right w:val="nil"/>
            </w:tcBorders>
            <w:noWrap/>
            <w:vAlign w:val="center"/>
            <w:hideMark/>
          </w:tcPr>
          <w:p w14:paraId="413E03B5"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2"/>
            <w:tcBorders>
              <w:top w:val="nil"/>
              <w:left w:val="nil"/>
              <w:bottom w:val="nil"/>
              <w:right w:val="nil"/>
            </w:tcBorders>
            <w:noWrap/>
            <w:vAlign w:val="center"/>
            <w:hideMark/>
          </w:tcPr>
          <w:p w14:paraId="03210150"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nil"/>
              <w:left w:val="nil"/>
              <w:bottom w:val="nil"/>
              <w:right w:val="nil"/>
            </w:tcBorders>
            <w:noWrap/>
            <w:vAlign w:val="center"/>
            <w:hideMark/>
          </w:tcPr>
          <w:p w14:paraId="243C0346"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nil"/>
              <w:left w:val="nil"/>
              <w:bottom w:val="nil"/>
              <w:right w:val="nil"/>
            </w:tcBorders>
            <w:noWrap/>
            <w:vAlign w:val="center"/>
            <w:hideMark/>
          </w:tcPr>
          <w:p w14:paraId="2D566A87"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nil"/>
              <w:left w:val="nil"/>
              <w:bottom w:val="nil"/>
              <w:right w:val="nil"/>
            </w:tcBorders>
            <w:noWrap/>
            <w:vAlign w:val="center"/>
            <w:hideMark/>
          </w:tcPr>
          <w:p w14:paraId="67417C35"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nil"/>
              <w:left w:val="nil"/>
              <w:bottom w:val="nil"/>
              <w:right w:val="nil"/>
            </w:tcBorders>
            <w:noWrap/>
            <w:vAlign w:val="center"/>
            <w:hideMark/>
          </w:tcPr>
          <w:p w14:paraId="5646DBD0"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4"/>
            <w:tcBorders>
              <w:top w:val="nil"/>
              <w:left w:val="nil"/>
              <w:bottom w:val="nil"/>
              <w:right w:val="nil"/>
            </w:tcBorders>
            <w:noWrap/>
            <w:vAlign w:val="center"/>
            <w:hideMark/>
          </w:tcPr>
          <w:p w14:paraId="776B9D3D"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2"/>
            <w:tcBorders>
              <w:top w:val="nil"/>
              <w:left w:val="nil"/>
              <w:bottom w:val="nil"/>
              <w:right w:val="nil"/>
            </w:tcBorders>
            <w:noWrap/>
            <w:vAlign w:val="center"/>
            <w:hideMark/>
          </w:tcPr>
          <w:p w14:paraId="767C35D4"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nil"/>
              <w:left w:val="nil"/>
              <w:bottom w:val="nil"/>
              <w:right w:val="nil"/>
            </w:tcBorders>
            <w:noWrap/>
            <w:vAlign w:val="center"/>
            <w:hideMark/>
          </w:tcPr>
          <w:p w14:paraId="1629EBD9"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tcBorders>
              <w:top w:val="nil"/>
              <w:left w:val="nil"/>
              <w:bottom w:val="nil"/>
              <w:right w:val="nil"/>
            </w:tcBorders>
            <w:noWrap/>
            <w:vAlign w:val="center"/>
            <w:hideMark/>
          </w:tcPr>
          <w:p w14:paraId="6149919D"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5"/>
            <w:tcBorders>
              <w:top w:val="nil"/>
              <w:left w:val="nil"/>
              <w:bottom w:val="nil"/>
              <w:right w:val="nil"/>
            </w:tcBorders>
            <w:noWrap/>
            <w:vAlign w:val="center"/>
            <w:hideMark/>
          </w:tcPr>
          <w:p w14:paraId="5E640D33"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2"/>
            <w:tcBorders>
              <w:top w:val="nil"/>
              <w:left w:val="nil"/>
              <w:bottom w:val="nil"/>
              <w:right w:val="nil"/>
            </w:tcBorders>
            <w:noWrap/>
            <w:vAlign w:val="center"/>
            <w:hideMark/>
          </w:tcPr>
          <w:p w14:paraId="3F5B3D36" w14:textId="77777777" w:rsidR="00603217" w:rsidRPr="002150BE" w:rsidRDefault="00603217" w:rsidP="00603217">
            <w:pPr>
              <w:spacing w:after="0" w:line="240" w:lineRule="auto"/>
              <w:rPr>
                <w:rFonts w:asciiTheme="minorHAnsi" w:eastAsia="Times New Roman" w:hAnsiTheme="minorHAnsi" w:cstheme="minorHAnsi"/>
                <w:sz w:val="16"/>
                <w:szCs w:val="16"/>
                <w:lang w:eastAsia="es-MX"/>
              </w:rPr>
            </w:pPr>
          </w:p>
        </w:tc>
        <w:tc>
          <w:tcPr>
            <w:tcW w:w="0" w:type="auto"/>
            <w:gridSpan w:val="2"/>
            <w:tcBorders>
              <w:top w:val="nil"/>
              <w:left w:val="nil"/>
              <w:bottom w:val="nil"/>
              <w:right w:val="single" w:sz="4" w:space="0" w:color="BFBFBF" w:themeColor="background1" w:themeShade="BF"/>
            </w:tcBorders>
            <w:noWrap/>
            <w:vAlign w:val="center"/>
            <w:hideMark/>
          </w:tcPr>
          <w:p w14:paraId="2A4818BC" w14:textId="77777777" w:rsidR="00603217" w:rsidRPr="002150BE" w:rsidRDefault="00603217" w:rsidP="00603217">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r>
      <w:tr w:rsidR="00603217" w:rsidRPr="002150BE" w14:paraId="7CD4F338" w14:textId="77777777" w:rsidTr="002D2C4C">
        <w:trPr>
          <w:trHeight w:val="238"/>
        </w:trPr>
        <w:tc>
          <w:tcPr>
            <w:tcW w:w="0" w:type="auto"/>
            <w:gridSpan w:val="27"/>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7F7F7F" w:themeFill="text1" w:themeFillTint="80"/>
            <w:noWrap/>
            <w:vAlign w:val="center"/>
            <w:hideMark/>
          </w:tcPr>
          <w:p w14:paraId="61F13040" w14:textId="77777777" w:rsidR="00603217" w:rsidRPr="000A4BBB" w:rsidRDefault="00603217" w:rsidP="00603217">
            <w:pPr>
              <w:spacing w:after="0" w:line="240" w:lineRule="auto"/>
              <w:jc w:val="center"/>
              <w:rPr>
                <w:rFonts w:asciiTheme="minorHAnsi" w:eastAsia="Times New Roman" w:hAnsiTheme="minorHAnsi" w:cstheme="minorHAnsi"/>
                <w:b/>
                <w:bCs/>
                <w:color w:val="FFFFFF"/>
                <w:sz w:val="15"/>
                <w:szCs w:val="15"/>
                <w:lang w:eastAsia="es-MX"/>
              </w:rPr>
            </w:pPr>
            <w:r w:rsidRPr="000A4BBB">
              <w:rPr>
                <w:rFonts w:asciiTheme="minorHAnsi" w:eastAsia="Times New Roman" w:hAnsiTheme="minorHAnsi" w:cstheme="minorHAnsi"/>
                <w:b/>
                <w:bCs/>
                <w:color w:val="FFFFFF"/>
                <w:sz w:val="15"/>
                <w:szCs w:val="15"/>
                <w:lang w:eastAsia="es-MX"/>
              </w:rPr>
              <w:t>Comentarios u observaciones de la instancia evaluadora</w:t>
            </w:r>
          </w:p>
        </w:tc>
      </w:tr>
      <w:tr w:rsidR="002D2C4C" w:rsidRPr="002150BE" w14:paraId="24E05C7A" w14:textId="77777777" w:rsidTr="002D2C4C">
        <w:trPr>
          <w:trHeight w:val="851"/>
        </w:trPr>
        <w:tc>
          <w:tcPr>
            <w:tcW w:w="0" w:type="auto"/>
            <w:gridSpan w:val="27"/>
            <w:tcBorders>
              <w:top w:val="single" w:sz="4" w:space="0" w:color="auto"/>
              <w:left w:val="single" w:sz="4" w:space="0" w:color="auto"/>
              <w:bottom w:val="single" w:sz="4" w:space="0" w:color="auto"/>
              <w:right w:val="single" w:sz="4" w:space="0" w:color="auto"/>
            </w:tcBorders>
            <w:noWrap/>
            <w:vAlign w:val="center"/>
            <w:hideMark/>
          </w:tcPr>
          <w:p w14:paraId="1083A1BC" w14:textId="77777777" w:rsidR="002D2C4C" w:rsidRPr="000A4BBB" w:rsidRDefault="002D2C4C" w:rsidP="00603217">
            <w:pPr>
              <w:spacing w:after="0" w:line="240" w:lineRule="auto"/>
              <w:rPr>
                <w:rFonts w:asciiTheme="minorHAnsi" w:eastAsia="Times New Roman" w:hAnsiTheme="minorHAnsi" w:cstheme="minorHAnsi"/>
                <w:sz w:val="15"/>
                <w:szCs w:val="15"/>
                <w:lang w:eastAsia="es-MX"/>
              </w:rPr>
            </w:pPr>
            <w:r w:rsidRPr="000A4BBB">
              <w:rPr>
                <w:rFonts w:asciiTheme="minorHAnsi" w:eastAsia="Times New Roman" w:hAnsiTheme="minorHAnsi" w:cstheme="minorHAnsi"/>
                <w:sz w:val="15"/>
                <w:szCs w:val="15"/>
                <w:lang w:eastAsia="es-MX"/>
              </w:rPr>
              <w:t>El Pp cuenta con fortalezas relevantes: un sistema informático propio, estructura homologada de datos y procedimientos documentados que cubren el ciclo completo del estudiante, con cortes cuatrimestrales y anuales que mantienen actualizado el padrón. Como área de mejora, se sugiere concentrar en un solo documento normativo el procedimiento de integración, actualización y depuración del padrón, especificando su periodicidad y mecanismos de depuración, así como reforzar la referencia explícita a la normativa de protección de datos personales en la documentación de Servicios Escolares para robustecer la seguridad y trazabilidad de la información.</w:t>
            </w:r>
          </w:p>
        </w:tc>
      </w:tr>
      <w:tr w:rsidR="00603217" w:rsidRPr="002150BE" w14:paraId="4B1BEAC6" w14:textId="77777777" w:rsidTr="002D2C4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81"/>
        </w:trPr>
        <w:tc>
          <w:tcPr>
            <w:tcW w:w="0" w:type="auto"/>
            <w:gridSpan w:val="27"/>
            <w:vMerge w:val="restart"/>
            <w:tcBorders>
              <w:top w:val="single" w:sz="4" w:space="0" w:color="auto"/>
            </w:tcBorders>
            <w:shd w:val="clear" w:color="auto" w:fill="404040" w:themeFill="text1" w:themeFillTint="BF"/>
            <w:vAlign w:val="center"/>
            <w:hideMark/>
          </w:tcPr>
          <w:p w14:paraId="4E486A1E" w14:textId="409A4796" w:rsidR="00603217" w:rsidRPr="002150BE" w:rsidRDefault="00603217" w:rsidP="00603217">
            <w:pPr>
              <w:spacing w:after="0" w:line="240" w:lineRule="auto"/>
              <w:jc w:val="center"/>
              <w:rPr>
                <w:rFonts w:asciiTheme="minorHAnsi" w:eastAsia="Times New Roman" w:hAnsiTheme="minorHAnsi" w:cstheme="minorHAnsi"/>
                <w:b/>
                <w:bCs/>
                <w:color w:val="FFFFFF"/>
                <w:szCs w:val="16"/>
                <w:lang w:eastAsia="es-MX"/>
              </w:rPr>
            </w:pPr>
            <w:r w:rsidRPr="002150BE">
              <w:rPr>
                <w:rFonts w:asciiTheme="minorHAnsi" w:hAnsiTheme="minorHAnsi" w:cstheme="minorHAnsi"/>
                <w:szCs w:val="16"/>
              </w:rPr>
              <w:lastRenderedPageBreak/>
              <w:br w:type="page"/>
            </w:r>
            <w:r w:rsidRPr="002150BE">
              <w:rPr>
                <w:rFonts w:asciiTheme="minorHAnsi" w:eastAsia="Times New Roman" w:hAnsiTheme="minorHAnsi" w:cstheme="minorHAnsi"/>
                <w:b/>
                <w:bCs/>
                <w:color w:val="FFFFFF"/>
                <w:szCs w:val="16"/>
                <w:lang w:eastAsia="es-MX"/>
              </w:rPr>
              <w:t>Anexo 8. Presupuesto</w:t>
            </w:r>
          </w:p>
        </w:tc>
      </w:tr>
      <w:tr w:rsidR="00603217" w:rsidRPr="002150BE" w14:paraId="721058DE" w14:textId="77777777" w:rsidTr="002D2C4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81"/>
        </w:trPr>
        <w:tc>
          <w:tcPr>
            <w:tcW w:w="0" w:type="auto"/>
            <w:gridSpan w:val="27"/>
            <w:vMerge/>
            <w:shd w:val="clear" w:color="auto" w:fill="404040" w:themeFill="text1" w:themeFillTint="BF"/>
            <w:vAlign w:val="center"/>
            <w:hideMark/>
          </w:tcPr>
          <w:p w14:paraId="090A7AA9" w14:textId="77777777" w:rsidR="00603217" w:rsidRPr="002150BE" w:rsidRDefault="00603217" w:rsidP="00603217">
            <w:pPr>
              <w:spacing w:after="0" w:line="240" w:lineRule="auto"/>
              <w:rPr>
                <w:rFonts w:asciiTheme="minorHAnsi" w:eastAsia="Times New Roman" w:hAnsiTheme="minorHAnsi" w:cstheme="minorHAnsi"/>
                <w:b/>
                <w:bCs/>
                <w:color w:val="FFFFFF"/>
                <w:sz w:val="16"/>
                <w:szCs w:val="16"/>
                <w:lang w:eastAsia="es-MX"/>
              </w:rPr>
            </w:pPr>
          </w:p>
        </w:tc>
      </w:tr>
      <w:tr w:rsidR="00603217" w:rsidRPr="002150BE" w14:paraId="1FA7F71E" w14:textId="77777777" w:rsidTr="002D2C4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41"/>
        </w:trPr>
        <w:tc>
          <w:tcPr>
            <w:tcW w:w="0" w:type="auto"/>
            <w:gridSpan w:val="27"/>
            <w:shd w:val="clear" w:color="auto" w:fill="7F7F7F" w:themeFill="text1" w:themeFillTint="80"/>
            <w:noWrap/>
            <w:vAlign w:val="center"/>
            <w:hideMark/>
          </w:tcPr>
          <w:p w14:paraId="782E34AE" w14:textId="77777777" w:rsidR="00603217" w:rsidRPr="002150BE" w:rsidRDefault="00603217" w:rsidP="00603217">
            <w:pPr>
              <w:spacing w:after="0" w:line="240" w:lineRule="auto"/>
              <w:jc w:val="center"/>
              <w:rPr>
                <w:rFonts w:asciiTheme="minorHAnsi" w:eastAsia="Times New Roman" w:hAnsiTheme="minorHAnsi" w:cstheme="minorHAnsi"/>
                <w:b/>
                <w:bCs/>
                <w:color w:val="FFFFFF"/>
                <w:sz w:val="18"/>
                <w:szCs w:val="16"/>
                <w:lang w:eastAsia="es-MX"/>
              </w:rPr>
            </w:pPr>
            <w:r w:rsidRPr="002150BE">
              <w:rPr>
                <w:rFonts w:asciiTheme="minorHAnsi" w:eastAsia="Times New Roman" w:hAnsiTheme="minorHAnsi" w:cstheme="minorHAnsi"/>
                <w:b/>
                <w:bCs/>
                <w:color w:val="FFFFFF"/>
                <w:sz w:val="18"/>
                <w:szCs w:val="16"/>
                <w:lang w:eastAsia="es-MX"/>
              </w:rPr>
              <w:t xml:space="preserve">Recursos presupuestarios </w:t>
            </w:r>
          </w:p>
        </w:tc>
      </w:tr>
      <w:tr w:rsidR="00BC7761" w:rsidRPr="002150BE" w14:paraId="733309BF" w14:textId="77777777" w:rsidTr="002D2C4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52"/>
        </w:trPr>
        <w:tc>
          <w:tcPr>
            <w:tcW w:w="0" w:type="auto"/>
            <w:gridSpan w:val="15"/>
            <w:shd w:val="clear" w:color="auto" w:fill="D9D9D9" w:themeFill="background1" w:themeFillShade="D9"/>
            <w:vAlign w:val="center"/>
            <w:hideMark/>
          </w:tcPr>
          <w:p w14:paraId="09BFEFC7" w14:textId="77777777" w:rsidR="00603217" w:rsidRPr="002150BE" w:rsidRDefault="00603217" w:rsidP="00603217">
            <w:pPr>
              <w:spacing w:after="0" w:line="240" w:lineRule="auto"/>
              <w:jc w:val="center"/>
              <w:rPr>
                <w:rFonts w:asciiTheme="minorHAnsi" w:eastAsia="Times New Roman" w:hAnsiTheme="minorHAnsi" w:cstheme="minorHAnsi"/>
                <w:b/>
                <w:bCs/>
                <w:color w:val="3A3838"/>
                <w:sz w:val="16"/>
                <w:szCs w:val="16"/>
                <w:lang w:eastAsia="es-MX"/>
              </w:rPr>
            </w:pPr>
            <w:r w:rsidRPr="002150BE">
              <w:rPr>
                <w:rFonts w:asciiTheme="minorHAnsi" w:eastAsia="Times New Roman" w:hAnsiTheme="minorHAnsi" w:cstheme="minorHAnsi"/>
                <w:b/>
                <w:bCs/>
                <w:color w:val="3A3838"/>
                <w:sz w:val="16"/>
                <w:szCs w:val="16"/>
                <w:lang w:eastAsia="es-MX"/>
              </w:rPr>
              <w:t>Capítulo de gasto</w:t>
            </w:r>
          </w:p>
        </w:tc>
        <w:tc>
          <w:tcPr>
            <w:tcW w:w="0" w:type="auto"/>
            <w:gridSpan w:val="12"/>
            <w:shd w:val="clear" w:color="auto" w:fill="D9D9D9" w:themeFill="background1" w:themeFillShade="D9"/>
            <w:vAlign w:val="center"/>
            <w:hideMark/>
          </w:tcPr>
          <w:p w14:paraId="235E4969" w14:textId="77777777" w:rsidR="00603217" w:rsidRPr="002150BE" w:rsidRDefault="00603217" w:rsidP="00603217">
            <w:pPr>
              <w:spacing w:after="0" w:line="240" w:lineRule="auto"/>
              <w:jc w:val="center"/>
              <w:rPr>
                <w:rFonts w:asciiTheme="minorHAnsi" w:eastAsia="Times New Roman" w:hAnsiTheme="minorHAnsi" w:cstheme="minorHAnsi"/>
                <w:b/>
                <w:bCs/>
                <w:color w:val="3A3838"/>
                <w:sz w:val="16"/>
                <w:szCs w:val="16"/>
                <w:lang w:eastAsia="es-MX"/>
              </w:rPr>
            </w:pPr>
            <w:r w:rsidRPr="002150BE">
              <w:rPr>
                <w:rFonts w:asciiTheme="minorHAnsi" w:eastAsia="Times New Roman" w:hAnsiTheme="minorHAnsi" w:cstheme="minorHAnsi"/>
                <w:b/>
                <w:bCs/>
                <w:color w:val="3A3838"/>
                <w:sz w:val="16"/>
                <w:szCs w:val="16"/>
                <w:lang w:eastAsia="es-MX"/>
              </w:rPr>
              <w:t>Monto en pesos corrientes</w:t>
            </w:r>
          </w:p>
        </w:tc>
      </w:tr>
      <w:tr w:rsidR="00F323B5" w:rsidRPr="002150BE" w14:paraId="1A6593E3" w14:textId="77777777" w:rsidTr="002D2C4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52"/>
        </w:trPr>
        <w:tc>
          <w:tcPr>
            <w:tcW w:w="0" w:type="auto"/>
            <w:gridSpan w:val="15"/>
            <w:shd w:val="clear" w:color="auto" w:fill="F2F2F2" w:themeFill="background1" w:themeFillShade="F2"/>
            <w:noWrap/>
            <w:vAlign w:val="center"/>
            <w:hideMark/>
          </w:tcPr>
          <w:p w14:paraId="0809E4F8" w14:textId="77777777" w:rsidR="00F323B5" w:rsidRPr="002150BE" w:rsidRDefault="00F323B5" w:rsidP="00F323B5">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1000 Servicios personales</w:t>
            </w:r>
          </w:p>
        </w:tc>
        <w:tc>
          <w:tcPr>
            <w:tcW w:w="0" w:type="auto"/>
            <w:gridSpan w:val="12"/>
            <w:vAlign w:val="center"/>
            <w:hideMark/>
          </w:tcPr>
          <w:p w14:paraId="7EA1A5E1" w14:textId="77777777" w:rsidR="00F323B5" w:rsidRPr="002150BE" w:rsidRDefault="00F323B5" w:rsidP="00F323B5">
            <w:pPr>
              <w:spacing w:after="0" w:line="240" w:lineRule="auto"/>
              <w:jc w:val="center"/>
              <w:rPr>
                <w:rFonts w:asciiTheme="minorHAnsi" w:eastAsia="Times New Roman" w:hAnsiTheme="minorHAnsi" w:cstheme="minorHAnsi"/>
                <w:color w:val="3A3838"/>
                <w:sz w:val="16"/>
                <w:szCs w:val="16"/>
                <w:lang w:eastAsia="es-MX"/>
              </w:rPr>
            </w:pPr>
            <w:r w:rsidRPr="002150BE">
              <w:rPr>
                <w:rFonts w:asciiTheme="minorHAnsi" w:eastAsia="Times New Roman" w:hAnsiTheme="minorHAnsi" w:cstheme="minorHAnsi"/>
                <w:color w:val="3A3838"/>
                <w:sz w:val="16"/>
                <w:szCs w:val="16"/>
                <w:lang w:eastAsia="es-MX"/>
              </w:rPr>
              <w:t>$ 21,625,522.00</w:t>
            </w:r>
          </w:p>
        </w:tc>
      </w:tr>
      <w:tr w:rsidR="00F323B5" w:rsidRPr="002150BE" w14:paraId="0E919B1D" w14:textId="77777777" w:rsidTr="002D2C4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52"/>
        </w:trPr>
        <w:tc>
          <w:tcPr>
            <w:tcW w:w="0" w:type="auto"/>
            <w:gridSpan w:val="15"/>
            <w:shd w:val="clear" w:color="auto" w:fill="F2F2F2" w:themeFill="background1" w:themeFillShade="F2"/>
            <w:noWrap/>
            <w:vAlign w:val="center"/>
            <w:hideMark/>
          </w:tcPr>
          <w:p w14:paraId="45E73BB7" w14:textId="77777777" w:rsidR="00F323B5" w:rsidRPr="002150BE" w:rsidRDefault="00F323B5" w:rsidP="00F323B5">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2000 Materiales y suministros</w:t>
            </w:r>
          </w:p>
        </w:tc>
        <w:tc>
          <w:tcPr>
            <w:tcW w:w="0" w:type="auto"/>
            <w:gridSpan w:val="12"/>
            <w:vAlign w:val="center"/>
            <w:hideMark/>
          </w:tcPr>
          <w:p w14:paraId="52EAA390" w14:textId="77777777" w:rsidR="00F323B5" w:rsidRPr="002150BE" w:rsidRDefault="00F323B5" w:rsidP="00F323B5">
            <w:pPr>
              <w:spacing w:after="0" w:line="240" w:lineRule="auto"/>
              <w:jc w:val="center"/>
              <w:rPr>
                <w:rFonts w:asciiTheme="minorHAnsi" w:eastAsia="Times New Roman" w:hAnsiTheme="minorHAnsi" w:cstheme="minorHAnsi"/>
                <w:color w:val="3A3838"/>
                <w:sz w:val="16"/>
                <w:szCs w:val="16"/>
                <w:lang w:eastAsia="es-MX"/>
              </w:rPr>
            </w:pPr>
            <w:r w:rsidRPr="002150BE">
              <w:rPr>
                <w:rFonts w:asciiTheme="minorHAnsi" w:eastAsia="Times New Roman" w:hAnsiTheme="minorHAnsi" w:cstheme="minorHAnsi"/>
                <w:color w:val="3A3838"/>
                <w:sz w:val="16"/>
                <w:szCs w:val="16"/>
                <w:lang w:eastAsia="es-MX"/>
              </w:rPr>
              <w:t>$ 878,244.00</w:t>
            </w:r>
          </w:p>
        </w:tc>
      </w:tr>
      <w:tr w:rsidR="00F323B5" w:rsidRPr="002150BE" w14:paraId="213EF232" w14:textId="77777777" w:rsidTr="002D2C4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52"/>
        </w:trPr>
        <w:tc>
          <w:tcPr>
            <w:tcW w:w="0" w:type="auto"/>
            <w:gridSpan w:val="15"/>
            <w:shd w:val="clear" w:color="auto" w:fill="F2F2F2" w:themeFill="background1" w:themeFillShade="F2"/>
            <w:noWrap/>
            <w:vAlign w:val="center"/>
            <w:hideMark/>
          </w:tcPr>
          <w:p w14:paraId="02F86C2C" w14:textId="77777777" w:rsidR="00F323B5" w:rsidRPr="002150BE" w:rsidRDefault="00F323B5" w:rsidP="00F323B5">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3000 Servicios generales</w:t>
            </w:r>
          </w:p>
        </w:tc>
        <w:tc>
          <w:tcPr>
            <w:tcW w:w="0" w:type="auto"/>
            <w:gridSpan w:val="12"/>
            <w:vAlign w:val="center"/>
            <w:hideMark/>
          </w:tcPr>
          <w:p w14:paraId="0F5A9626" w14:textId="77777777" w:rsidR="00F323B5" w:rsidRPr="002150BE" w:rsidRDefault="00F323B5" w:rsidP="00F323B5">
            <w:pPr>
              <w:spacing w:after="0" w:line="240" w:lineRule="auto"/>
              <w:jc w:val="center"/>
              <w:rPr>
                <w:rFonts w:asciiTheme="minorHAnsi" w:eastAsia="Times New Roman" w:hAnsiTheme="minorHAnsi" w:cstheme="minorHAnsi"/>
                <w:color w:val="3A3838"/>
                <w:sz w:val="16"/>
                <w:szCs w:val="16"/>
                <w:lang w:eastAsia="es-MX"/>
              </w:rPr>
            </w:pPr>
            <w:r w:rsidRPr="002150BE">
              <w:rPr>
                <w:rFonts w:asciiTheme="minorHAnsi" w:eastAsia="Times New Roman" w:hAnsiTheme="minorHAnsi" w:cstheme="minorHAnsi"/>
                <w:color w:val="3A3838"/>
                <w:sz w:val="16"/>
                <w:szCs w:val="16"/>
                <w:lang w:eastAsia="es-MX"/>
              </w:rPr>
              <w:t>$ 4,326,715.00</w:t>
            </w:r>
          </w:p>
        </w:tc>
      </w:tr>
      <w:tr w:rsidR="00F323B5" w:rsidRPr="002150BE" w14:paraId="211340CB" w14:textId="77777777" w:rsidTr="002D2C4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64"/>
        </w:trPr>
        <w:tc>
          <w:tcPr>
            <w:tcW w:w="0" w:type="auto"/>
            <w:gridSpan w:val="15"/>
            <w:shd w:val="clear" w:color="auto" w:fill="F2F2F2" w:themeFill="background1" w:themeFillShade="F2"/>
            <w:noWrap/>
            <w:vAlign w:val="center"/>
            <w:hideMark/>
          </w:tcPr>
          <w:p w14:paraId="06DE3019" w14:textId="77777777" w:rsidR="00F323B5" w:rsidRPr="002150BE" w:rsidRDefault="00F323B5" w:rsidP="00F323B5">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4000 Transferencias, asignaciones, subsidios y otras ayudas</w:t>
            </w:r>
          </w:p>
        </w:tc>
        <w:tc>
          <w:tcPr>
            <w:tcW w:w="0" w:type="auto"/>
            <w:gridSpan w:val="12"/>
            <w:vAlign w:val="center"/>
            <w:hideMark/>
          </w:tcPr>
          <w:p w14:paraId="14E7F0F2" w14:textId="77777777" w:rsidR="00F323B5" w:rsidRPr="002150BE" w:rsidRDefault="00F323B5" w:rsidP="00F323B5">
            <w:pPr>
              <w:spacing w:after="0" w:line="240" w:lineRule="auto"/>
              <w:jc w:val="center"/>
              <w:rPr>
                <w:rFonts w:asciiTheme="minorHAnsi" w:eastAsia="Times New Roman" w:hAnsiTheme="minorHAnsi" w:cstheme="minorHAnsi"/>
                <w:color w:val="3A3838"/>
                <w:sz w:val="16"/>
                <w:szCs w:val="16"/>
                <w:lang w:eastAsia="es-MX"/>
              </w:rPr>
            </w:pPr>
            <w:r w:rsidRPr="002150BE">
              <w:rPr>
                <w:rFonts w:asciiTheme="minorHAnsi" w:eastAsia="Times New Roman" w:hAnsiTheme="minorHAnsi" w:cstheme="minorHAnsi"/>
                <w:color w:val="3A3838"/>
                <w:sz w:val="16"/>
                <w:szCs w:val="16"/>
                <w:lang w:eastAsia="es-MX"/>
              </w:rPr>
              <w:t>$ 0.00</w:t>
            </w:r>
          </w:p>
        </w:tc>
      </w:tr>
      <w:tr w:rsidR="00F323B5" w:rsidRPr="002150BE" w14:paraId="77CD554A" w14:textId="77777777" w:rsidTr="002D2C4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52"/>
        </w:trPr>
        <w:tc>
          <w:tcPr>
            <w:tcW w:w="0" w:type="auto"/>
            <w:gridSpan w:val="15"/>
            <w:shd w:val="clear" w:color="auto" w:fill="F2F2F2" w:themeFill="background1" w:themeFillShade="F2"/>
            <w:noWrap/>
            <w:vAlign w:val="center"/>
            <w:hideMark/>
          </w:tcPr>
          <w:p w14:paraId="7AA96D28" w14:textId="77777777" w:rsidR="00F323B5" w:rsidRPr="002150BE" w:rsidRDefault="00F323B5" w:rsidP="00F323B5">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5000 Bienes muebles, inmuebles e intangibles</w:t>
            </w:r>
          </w:p>
        </w:tc>
        <w:tc>
          <w:tcPr>
            <w:tcW w:w="0" w:type="auto"/>
            <w:gridSpan w:val="12"/>
            <w:vAlign w:val="center"/>
            <w:hideMark/>
          </w:tcPr>
          <w:p w14:paraId="50CD8753" w14:textId="77777777" w:rsidR="00F323B5" w:rsidRPr="002150BE" w:rsidRDefault="00F323B5" w:rsidP="00F323B5">
            <w:pPr>
              <w:spacing w:after="0" w:line="240" w:lineRule="auto"/>
              <w:jc w:val="center"/>
              <w:rPr>
                <w:rFonts w:asciiTheme="minorHAnsi" w:eastAsia="Times New Roman" w:hAnsiTheme="minorHAnsi" w:cstheme="minorHAnsi"/>
                <w:color w:val="3A3838"/>
                <w:sz w:val="16"/>
                <w:szCs w:val="16"/>
                <w:lang w:eastAsia="es-MX"/>
              </w:rPr>
            </w:pPr>
            <w:r w:rsidRPr="002150BE">
              <w:rPr>
                <w:rFonts w:asciiTheme="minorHAnsi" w:eastAsia="Times New Roman" w:hAnsiTheme="minorHAnsi" w:cstheme="minorHAnsi"/>
                <w:color w:val="3A3838"/>
                <w:sz w:val="16"/>
                <w:szCs w:val="16"/>
                <w:lang w:eastAsia="es-MX"/>
              </w:rPr>
              <w:t>$ 0.00</w:t>
            </w:r>
          </w:p>
        </w:tc>
      </w:tr>
      <w:tr w:rsidR="00F323B5" w:rsidRPr="002150BE" w14:paraId="1A27551E" w14:textId="77777777" w:rsidTr="002D2C4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52"/>
        </w:trPr>
        <w:tc>
          <w:tcPr>
            <w:tcW w:w="0" w:type="auto"/>
            <w:gridSpan w:val="15"/>
            <w:shd w:val="clear" w:color="auto" w:fill="F2F2F2" w:themeFill="background1" w:themeFillShade="F2"/>
            <w:noWrap/>
            <w:vAlign w:val="center"/>
            <w:hideMark/>
          </w:tcPr>
          <w:p w14:paraId="1B4DE56E" w14:textId="77777777" w:rsidR="00F323B5" w:rsidRPr="002150BE" w:rsidRDefault="00F323B5" w:rsidP="00F323B5">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6000 Inversión pública</w:t>
            </w:r>
          </w:p>
        </w:tc>
        <w:tc>
          <w:tcPr>
            <w:tcW w:w="0" w:type="auto"/>
            <w:gridSpan w:val="12"/>
            <w:vAlign w:val="center"/>
            <w:hideMark/>
          </w:tcPr>
          <w:p w14:paraId="16677605" w14:textId="77777777" w:rsidR="00F323B5" w:rsidRPr="002150BE" w:rsidRDefault="00F323B5" w:rsidP="00F323B5">
            <w:pPr>
              <w:spacing w:after="0" w:line="240" w:lineRule="auto"/>
              <w:jc w:val="center"/>
              <w:rPr>
                <w:rFonts w:asciiTheme="minorHAnsi" w:eastAsia="Times New Roman" w:hAnsiTheme="minorHAnsi" w:cstheme="minorHAnsi"/>
                <w:color w:val="3A3838"/>
                <w:sz w:val="16"/>
                <w:szCs w:val="16"/>
                <w:lang w:eastAsia="es-MX"/>
              </w:rPr>
            </w:pPr>
            <w:r w:rsidRPr="002150BE">
              <w:rPr>
                <w:rFonts w:asciiTheme="minorHAnsi" w:eastAsia="Times New Roman" w:hAnsiTheme="minorHAnsi" w:cstheme="minorHAnsi"/>
                <w:color w:val="3A3838"/>
                <w:sz w:val="16"/>
                <w:szCs w:val="16"/>
                <w:lang w:eastAsia="es-MX"/>
              </w:rPr>
              <w:t>$ 0.00</w:t>
            </w:r>
          </w:p>
        </w:tc>
      </w:tr>
      <w:tr w:rsidR="00F323B5" w:rsidRPr="002150BE" w14:paraId="3D796468" w14:textId="77777777" w:rsidTr="002D2C4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52"/>
        </w:trPr>
        <w:tc>
          <w:tcPr>
            <w:tcW w:w="0" w:type="auto"/>
            <w:gridSpan w:val="15"/>
            <w:shd w:val="clear" w:color="auto" w:fill="F2F2F2" w:themeFill="background1" w:themeFillShade="F2"/>
            <w:noWrap/>
            <w:vAlign w:val="center"/>
            <w:hideMark/>
          </w:tcPr>
          <w:p w14:paraId="71F91552" w14:textId="77777777" w:rsidR="00F323B5" w:rsidRPr="002150BE" w:rsidRDefault="00F323B5" w:rsidP="00F323B5">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7000 Inversiones financieras y otras provisiones</w:t>
            </w:r>
          </w:p>
        </w:tc>
        <w:tc>
          <w:tcPr>
            <w:tcW w:w="0" w:type="auto"/>
            <w:gridSpan w:val="12"/>
            <w:vAlign w:val="center"/>
            <w:hideMark/>
          </w:tcPr>
          <w:p w14:paraId="7BB3D82E" w14:textId="77777777" w:rsidR="00F323B5" w:rsidRPr="002150BE" w:rsidRDefault="00F323B5" w:rsidP="00F323B5">
            <w:pPr>
              <w:spacing w:after="0" w:line="240" w:lineRule="auto"/>
              <w:jc w:val="center"/>
              <w:rPr>
                <w:rFonts w:asciiTheme="minorHAnsi" w:eastAsia="Times New Roman" w:hAnsiTheme="minorHAnsi" w:cstheme="minorHAnsi"/>
                <w:color w:val="3A3838"/>
                <w:sz w:val="16"/>
                <w:szCs w:val="16"/>
                <w:lang w:eastAsia="es-MX"/>
              </w:rPr>
            </w:pPr>
            <w:r w:rsidRPr="002150BE">
              <w:rPr>
                <w:rFonts w:asciiTheme="minorHAnsi" w:eastAsia="Times New Roman" w:hAnsiTheme="minorHAnsi" w:cstheme="minorHAnsi"/>
                <w:color w:val="3A3838"/>
                <w:sz w:val="16"/>
                <w:szCs w:val="16"/>
                <w:lang w:eastAsia="es-MX"/>
              </w:rPr>
              <w:t>$ 0.00</w:t>
            </w:r>
          </w:p>
        </w:tc>
      </w:tr>
      <w:tr w:rsidR="00F323B5" w:rsidRPr="002150BE" w14:paraId="1F169A7D" w14:textId="77777777" w:rsidTr="002D2C4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52"/>
        </w:trPr>
        <w:tc>
          <w:tcPr>
            <w:tcW w:w="0" w:type="auto"/>
            <w:gridSpan w:val="15"/>
            <w:shd w:val="clear" w:color="auto" w:fill="F2F2F2" w:themeFill="background1" w:themeFillShade="F2"/>
            <w:noWrap/>
            <w:vAlign w:val="center"/>
            <w:hideMark/>
          </w:tcPr>
          <w:p w14:paraId="750DC1D2" w14:textId="77777777" w:rsidR="00F323B5" w:rsidRPr="002150BE" w:rsidRDefault="00F323B5" w:rsidP="00F323B5">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8000 Participaciones y aportaciones</w:t>
            </w:r>
          </w:p>
        </w:tc>
        <w:tc>
          <w:tcPr>
            <w:tcW w:w="0" w:type="auto"/>
            <w:gridSpan w:val="12"/>
            <w:vAlign w:val="center"/>
            <w:hideMark/>
          </w:tcPr>
          <w:p w14:paraId="2BD17F8A" w14:textId="77777777" w:rsidR="00F323B5" w:rsidRPr="002150BE" w:rsidRDefault="00F323B5" w:rsidP="00F323B5">
            <w:pPr>
              <w:spacing w:after="0" w:line="240" w:lineRule="auto"/>
              <w:jc w:val="center"/>
              <w:rPr>
                <w:rFonts w:asciiTheme="minorHAnsi" w:eastAsia="Times New Roman" w:hAnsiTheme="minorHAnsi" w:cstheme="minorHAnsi"/>
                <w:color w:val="3A3838"/>
                <w:sz w:val="16"/>
                <w:szCs w:val="16"/>
                <w:lang w:eastAsia="es-MX"/>
              </w:rPr>
            </w:pPr>
            <w:r w:rsidRPr="002150BE">
              <w:rPr>
                <w:rFonts w:asciiTheme="minorHAnsi" w:eastAsia="Times New Roman" w:hAnsiTheme="minorHAnsi" w:cstheme="minorHAnsi"/>
                <w:color w:val="3A3838"/>
                <w:sz w:val="16"/>
                <w:szCs w:val="16"/>
                <w:lang w:eastAsia="es-MX"/>
              </w:rPr>
              <w:t>$ 0.00</w:t>
            </w:r>
          </w:p>
        </w:tc>
      </w:tr>
      <w:tr w:rsidR="00F323B5" w:rsidRPr="002150BE" w14:paraId="68D72DDA" w14:textId="77777777" w:rsidTr="002D2C4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52"/>
        </w:trPr>
        <w:tc>
          <w:tcPr>
            <w:tcW w:w="0" w:type="auto"/>
            <w:gridSpan w:val="15"/>
            <w:shd w:val="clear" w:color="auto" w:fill="F2F2F2" w:themeFill="background1" w:themeFillShade="F2"/>
            <w:noWrap/>
            <w:vAlign w:val="center"/>
            <w:hideMark/>
          </w:tcPr>
          <w:p w14:paraId="41318095" w14:textId="77777777" w:rsidR="00F323B5" w:rsidRPr="002150BE" w:rsidRDefault="00F323B5" w:rsidP="00F323B5">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9000 Deuda pública</w:t>
            </w:r>
          </w:p>
        </w:tc>
        <w:tc>
          <w:tcPr>
            <w:tcW w:w="0" w:type="auto"/>
            <w:gridSpan w:val="12"/>
            <w:vAlign w:val="center"/>
            <w:hideMark/>
          </w:tcPr>
          <w:p w14:paraId="231E9F6F" w14:textId="77777777" w:rsidR="00F323B5" w:rsidRPr="002150BE" w:rsidRDefault="00F323B5" w:rsidP="00F323B5">
            <w:pPr>
              <w:spacing w:after="0" w:line="240" w:lineRule="auto"/>
              <w:jc w:val="center"/>
              <w:rPr>
                <w:rFonts w:asciiTheme="minorHAnsi" w:eastAsia="Times New Roman" w:hAnsiTheme="minorHAnsi" w:cstheme="minorHAnsi"/>
                <w:color w:val="3A3838"/>
                <w:sz w:val="16"/>
                <w:szCs w:val="16"/>
                <w:lang w:eastAsia="es-MX"/>
              </w:rPr>
            </w:pPr>
            <w:r w:rsidRPr="002150BE">
              <w:rPr>
                <w:rFonts w:asciiTheme="minorHAnsi" w:eastAsia="Times New Roman" w:hAnsiTheme="minorHAnsi" w:cstheme="minorHAnsi"/>
                <w:color w:val="3A3838"/>
                <w:sz w:val="16"/>
                <w:szCs w:val="16"/>
                <w:lang w:eastAsia="es-MX"/>
              </w:rPr>
              <w:t>$ 0.00</w:t>
            </w:r>
          </w:p>
        </w:tc>
      </w:tr>
      <w:tr w:rsidR="00F323B5" w:rsidRPr="002150BE" w14:paraId="197BE896" w14:textId="77777777" w:rsidTr="002D2C4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52"/>
        </w:trPr>
        <w:tc>
          <w:tcPr>
            <w:tcW w:w="0" w:type="auto"/>
            <w:gridSpan w:val="15"/>
            <w:shd w:val="clear" w:color="auto" w:fill="F2F2F2" w:themeFill="background1" w:themeFillShade="F2"/>
            <w:noWrap/>
            <w:vAlign w:val="center"/>
            <w:hideMark/>
          </w:tcPr>
          <w:p w14:paraId="2206FDCE" w14:textId="77777777" w:rsidR="00F323B5" w:rsidRPr="002150BE" w:rsidRDefault="00F323B5" w:rsidP="00F323B5">
            <w:pPr>
              <w:spacing w:after="0" w:line="240" w:lineRule="auto"/>
              <w:jc w:val="center"/>
              <w:rPr>
                <w:rFonts w:asciiTheme="minorHAnsi" w:eastAsia="Times New Roman" w:hAnsiTheme="minorHAnsi" w:cstheme="minorHAnsi"/>
                <w:b/>
                <w:bCs/>
                <w:color w:val="000000"/>
                <w:sz w:val="16"/>
                <w:szCs w:val="16"/>
                <w:lang w:eastAsia="es-MX"/>
              </w:rPr>
            </w:pPr>
            <w:r w:rsidRPr="002150BE">
              <w:rPr>
                <w:rFonts w:asciiTheme="minorHAnsi" w:eastAsia="Times New Roman" w:hAnsiTheme="minorHAnsi" w:cstheme="minorHAnsi"/>
                <w:b/>
                <w:bCs/>
                <w:color w:val="000000"/>
                <w:sz w:val="16"/>
                <w:szCs w:val="16"/>
                <w:lang w:eastAsia="es-MX"/>
              </w:rPr>
              <w:t>TOTAL</w:t>
            </w:r>
          </w:p>
        </w:tc>
        <w:tc>
          <w:tcPr>
            <w:tcW w:w="0" w:type="auto"/>
            <w:gridSpan w:val="12"/>
            <w:vAlign w:val="center"/>
            <w:hideMark/>
          </w:tcPr>
          <w:p w14:paraId="01439A1D" w14:textId="54A55412" w:rsidR="00F323B5" w:rsidRPr="002150BE" w:rsidRDefault="00F323B5" w:rsidP="00603F7A">
            <w:pPr>
              <w:spacing w:after="0" w:line="240" w:lineRule="auto"/>
              <w:jc w:val="center"/>
              <w:rPr>
                <w:rFonts w:asciiTheme="minorHAnsi" w:eastAsia="Times New Roman" w:hAnsiTheme="minorHAnsi" w:cstheme="minorHAnsi"/>
                <w:b/>
                <w:bCs/>
                <w:color w:val="3A3838"/>
                <w:sz w:val="16"/>
                <w:szCs w:val="16"/>
                <w:lang w:eastAsia="es-MX"/>
              </w:rPr>
            </w:pPr>
            <w:r w:rsidRPr="002150BE">
              <w:rPr>
                <w:rFonts w:asciiTheme="minorHAnsi" w:eastAsia="Times New Roman" w:hAnsiTheme="minorHAnsi" w:cstheme="minorHAnsi"/>
                <w:b/>
                <w:bCs/>
                <w:color w:val="3A3838"/>
                <w:sz w:val="16"/>
                <w:szCs w:val="16"/>
                <w:lang w:eastAsia="es-MX"/>
              </w:rPr>
              <w:t>$ 26,830,481.00</w:t>
            </w:r>
            <w:r w:rsidR="00603F7A">
              <w:rPr>
                <w:rFonts w:asciiTheme="minorHAnsi" w:eastAsia="Times New Roman" w:hAnsiTheme="minorHAnsi" w:cstheme="minorHAnsi"/>
                <w:b/>
                <w:bCs/>
                <w:color w:val="3A3838"/>
                <w:sz w:val="16"/>
                <w:szCs w:val="16"/>
                <w:lang w:eastAsia="es-MX"/>
              </w:rPr>
              <w:t xml:space="preserve"> </w:t>
            </w:r>
          </w:p>
        </w:tc>
      </w:tr>
      <w:tr w:rsidR="00603217" w:rsidRPr="002150BE" w14:paraId="4349F300" w14:textId="77777777" w:rsidTr="002D2C4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79"/>
        </w:trPr>
        <w:tc>
          <w:tcPr>
            <w:tcW w:w="0" w:type="auto"/>
            <w:gridSpan w:val="27"/>
            <w:shd w:val="clear" w:color="auto" w:fill="7F7F7F" w:themeFill="text1" w:themeFillTint="80"/>
            <w:noWrap/>
            <w:vAlign w:val="center"/>
            <w:hideMark/>
          </w:tcPr>
          <w:p w14:paraId="41966FC0" w14:textId="77777777" w:rsidR="00603217" w:rsidRPr="002150BE" w:rsidRDefault="00603217" w:rsidP="00603217">
            <w:pPr>
              <w:spacing w:after="0" w:line="240" w:lineRule="auto"/>
              <w:jc w:val="center"/>
              <w:rPr>
                <w:rFonts w:asciiTheme="minorHAnsi" w:eastAsia="Times New Roman" w:hAnsiTheme="minorHAnsi" w:cstheme="minorHAnsi"/>
                <w:b/>
                <w:bCs/>
                <w:color w:val="FFFFFF"/>
                <w:sz w:val="18"/>
                <w:szCs w:val="16"/>
                <w:lang w:eastAsia="es-MX"/>
              </w:rPr>
            </w:pPr>
            <w:r w:rsidRPr="002150BE">
              <w:rPr>
                <w:rFonts w:asciiTheme="minorHAnsi" w:eastAsia="Times New Roman" w:hAnsiTheme="minorHAnsi" w:cstheme="minorHAnsi"/>
                <w:b/>
                <w:bCs/>
                <w:color w:val="FFFFFF"/>
                <w:sz w:val="18"/>
                <w:szCs w:val="16"/>
                <w:lang w:eastAsia="es-MX"/>
              </w:rPr>
              <w:t>Fuente u origen de los recursos</w:t>
            </w:r>
          </w:p>
        </w:tc>
      </w:tr>
      <w:tr w:rsidR="00BC7761" w:rsidRPr="002150BE" w14:paraId="7BE0DE9B" w14:textId="77777777" w:rsidTr="002D2C4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52"/>
        </w:trPr>
        <w:tc>
          <w:tcPr>
            <w:tcW w:w="0" w:type="auto"/>
            <w:gridSpan w:val="15"/>
            <w:shd w:val="clear" w:color="auto" w:fill="D9D9D9" w:themeFill="background1" w:themeFillShade="D9"/>
            <w:vAlign w:val="center"/>
            <w:hideMark/>
          </w:tcPr>
          <w:p w14:paraId="06FC2BDB" w14:textId="77777777" w:rsidR="00603217" w:rsidRPr="002150BE" w:rsidRDefault="00603217" w:rsidP="00603217">
            <w:pPr>
              <w:spacing w:after="0" w:line="240" w:lineRule="auto"/>
              <w:jc w:val="center"/>
              <w:rPr>
                <w:rFonts w:asciiTheme="minorHAnsi" w:eastAsia="Times New Roman" w:hAnsiTheme="minorHAnsi" w:cstheme="minorHAnsi"/>
                <w:b/>
                <w:bCs/>
                <w:color w:val="3A3838"/>
                <w:sz w:val="16"/>
                <w:szCs w:val="16"/>
                <w:lang w:eastAsia="es-MX"/>
              </w:rPr>
            </w:pPr>
            <w:r w:rsidRPr="002150BE">
              <w:rPr>
                <w:rFonts w:asciiTheme="minorHAnsi" w:eastAsia="Times New Roman" w:hAnsiTheme="minorHAnsi" w:cstheme="minorHAnsi"/>
                <w:b/>
                <w:bCs/>
                <w:color w:val="3A3838"/>
                <w:sz w:val="16"/>
                <w:szCs w:val="16"/>
                <w:lang w:eastAsia="es-MX"/>
              </w:rPr>
              <w:t>Fuente de Recursos</w:t>
            </w:r>
          </w:p>
        </w:tc>
        <w:tc>
          <w:tcPr>
            <w:tcW w:w="0" w:type="auto"/>
            <w:gridSpan w:val="12"/>
            <w:shd w:val="clear" w:color="auto" w:fill="D9D9D9" w:themeFill="background1" w:themeFillShade="D9"/>
            <w:vAlign w:val="center"/>
            <w:hideMark/>
          </w:tcPr>
          <w:p w14:paraId="132B36C5" w14:textId="77777777" w:rsidR="00603217" w:rsidRPr="002150BE" w:rsidRDefault="00603217" w:rsidP="00603217">
            <w:pPr>
              <w:spacing w:after="0" w:line="240" w:lineRule="auto"/>
              <w:jc w:val="center"/>
              <w:rPr>
                <w:rFonts w:asciiTheme="minorHAnsi" w:eastAsia="Times New Roman" w:hAnsiTheme="minorHAnsi" w:cstheme="minorHAnsi"/>
                <w:b/>
                <w:bCs/>
                <w:color w:val="3A3838"/>
                <w:sz w:val="16"/>
                <w:szCs w:val="16"/>
                <w:lang w:eastAsia="es-MX"/>
              </w:rPr>
            </w:pPr>
            <w:r w:rsidRPr="002150BE">
              <w:rPr>
                <w:rFonts w:asciiTheme="minorHAnsi" w:eastAsia="Times New Roman" w:hAnsiTheme="minorHAnsi" w:cstheme="minorHAnsi"/>
                <w:b/>
                <w:bCs/>
                <w:color w:val="3A3838"/>
                <w:sz w:val="16"/>
                <w:szCs w:val="16"/>
                <w:lang w:eastAsia="es-MX"/>
              </w:rPr>
              <w:t>Porcentaje respecto al presupuesto estimado</w:t>
            </w:r>
          </w:p>
        </w:tc>
      </w:tr>
      <w:tr w:rsidR="00F323B5" w:rsidRPr="002150BE" w14:paraId="78C18B3D" w14:textId="77777777" w:rsidTr="002D2C4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52"/>
        </w:trPr>
        <w:tc>
          <w:tcPr>
            <w:tcW w:w="0" w:type="auto"/>
            <w:gridSpan w:val="15"/>
            <w:shd w:val="clear" w:color="auto" w:fill="F2F2F2" w:themeFill="background1" w:themeFillShade="F2"/>
            <w:noWrap/>
            <w:vAlign w:val="center"/>
            <w:hideMark/>
          </w:tcPr>
          <w:p w14:paraId="7CC8E59A" w14:textId="77777777" w:rsidR="00F323B5" w:rsidRPr="002150BE" w:rsidRDefault="00F323B5" w:rsidP="00F323B5">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Recursos Fiscales</w:t>
            </w:r>
          </w:p>
        </w:tc>
        <w:tc>
          <w:tcPr>
            <w:tcW w:w="0" w:type="auto"/>
            <w:gridSpan w:val="12"/>
            <w:vAlign w:val="center"/>
            <w:hideMark/>
          </w:tcPr>
          <w:p w14:paraId="421D4A8B" w14:textId="77777777" w:rsidR="00F323B5" w:rsidRPr="002150BE" w:rsidRDefault="00F323B5" w:rsidP="00F323B5">
            <w:pPr>
              <w:spacing w:after="0" w:line="240" w:lineRule="auto"/>
              <w:jc w:val="center"/>
              <w:rPr>
                <w:rFonts w:asciiTheme="minorHAnsi" w:eastAsia="Times New Roman" w:hAnsiTheme="minorHAnsi" w:cstheme="minorHAnsi"/>
                <w:color w:val="3A3838"/>
                <w:sz w:val="16"/>
                <w:szCs w:val="16"/>
                <w:lang w:eastAsia="es-MX"/>
              </w:rPr>
            </w:pPr>
            <w:r w:rsidRPr="002150BE">
              <w:rPr>
                <w:rFonts w:asciiTheme="minorHAnsi" w:eastAsia="Times New Roman" w:hAnsiTheme="minorHAnsi" w:cstheme="minorHAnsi"/>
                <w:color w:val="3A3838"/>
                <w:sz w:val="16"/>
                <w:szCs w:val="16"/>
                <w:lang w:eastAsia="es-MX"/>
              </w:rPr>
              <w:t>45.26%</w:t>
            </w:r>
          </w:p>
        </w:tc>
      </w:tr>
      <w:tr w:rsidR="00F323B5" w:rsidRPr="002150BE" w14:paraId="095AAF3D" w14:textId="77777777" w:rsidTr="002D2C4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52"/>
        </w:trPr>
        <w:tc>
          <w:tcPr>
            <w:tcW w:w="0" w:type="auto"/>
            <w:gridSpan w:val="15"/>
            <w:shd w:val="clear" w:color="auto" w:fill="F2F2F2" w:themeFill="background1" w:themeFillShade="F2"/>
            <w:noWrap/>
            <w:vAlign w:val="center"/>
            <w:hideMark/>
          </w:tcPr>
          <w:p w14:paraId="34078DB6" w14:textId="77777777" w:rsidR="00F323B5" w:rsidRPr="002150BE" w:rsidRDefault="00F323B5" w:rsidP="00F323B5">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xml:space="preserve">Otros recursos </w:t>
            </w:r>
            <w:r w:rsidRPr="002150BE">
              <w:rPr>
                <w:rFonts w:asciiTheme="minorHAnsi" w:eastAsia="Times New Roman" w:hAnsiTheme="minorHAnsi" w:cstheme="minorHAnsi"/>
                <w:i/>
                <w:iCs/>
                <w:color w:val="000000"/>
                <w:sz w:val="16"/>
                <w:szCs w:val="16"/>
                <w:lang w:eastAsia="es-MX"/>
              </w:rPr>
              <w:t>[Recursos Federales (Subsidio Federal Ordinario U006)]</w:t>
            </w:r>
          </w:p>
        </w:tc>
        <w:tc>
          <w:tcPr>
            <w:tcW w:w="0" w:type="auto"/>
            <w:gridSpan w:val="12"/>
            <w:vAlign w:val="center"/>
            <w:hideMark/>
          </w:tcPr>
          <w:p w14:paraId="20D43DFC" w14:textId="77777777" w:rsidR="00F323B5" w:rsidRPr="002150BE" w:rsidRDefault="00F323B5" w:rsidP="00F323B5">
            <w:pPr>
              <w:spacing w:after="0" w:line="240" w:lineRule="auto"/>
              <w:jc w:val="center"/>
              <w:rPr>
                <w:rFonts w:asciiTheme="minorHAnsi" w:eastAsia="Times New Roman" w:hAnsiTheme="minorHAnsi" w:cstheme="minorHAnsi"/>
                <w:color w:val="3A3838"/>
                <w:sz w:val="16"/>
                <w:szCs w:val="16"/>
                <w:lang w:eastAsia="es-MX"/>
              </w:rPr>
            </w:pPr>
            <w:r w:rsidRPr="002150BE">
              <w:rPr>
                <w:rFonts w:asciiTheme="minorHAnsi" w:eastAsia="Times New Roman" w:hAnsiTheme="minorHAnsi" w:cstheme="minorHAnsi"/>
                <w:color w:val="3A3838"/>
                <w:sz w:val="16"/>
                <w:szCs w:val="16"/>
                <w:lang w:eastAsia="es-MX"/>
              </w:rPr>
              <w:t xml:space="preserve"> 46.17% </w:t>
            </w:r>
          </w:p>
        </w:tc>
      </w:tr>
      <w:tr w:rsidR="00F323B5" w:rsidRPr="002150BE" w14:paraId="1C6CA4E2" w14:textId="77777777" w:rsidTr="002D2C4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52"/>
        </w:trPr>
        <w:tc>
          <w:tcPr>
            <w:tcW w:w="0" w:type="auto"/>
            <w:gridSpan w:val="15"/>
            <w:shd w:val="clear" w:color="auto" w:fill="F2F2F2" w:themeFill="background1" w:themeFillShade="F2"/>
            <w:noWrap/>
            <w:vAlign w:val="center"/>
          </w:tcPr>
          <w:p w14:paraId="77015D98" w14:textId="77777777" w:rsidR="00F323B5" w:rsidRPr="002150BE" w:rsidRDefault="00F323B5" w:rsidP="00F323B5">
            <w:pPr>
              <w:spacing w:after="0" w:line="240" w:lineRule="auto"/>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xml:space="preserve">Otros recursos </w:t>
            </w:r>
            <w:r w:rsidRPr="002150BE">
              <w:rPr>
                <w:rFonts w:asciiTheme="minorHAnsi" w:eastAsia="Times New Roman" w:hAnsiTheme="minorHAnsi" w:cstheme="minorHAnsi"/>
                <w:i/>
                <w:iCs/>
                <w:color w:val="000000"/>
                <w:sz w:val="16"/>
                <w:szCs w:val="16"/>
                <w:lang w:eastAsia="es-MX"/>
              </w:rPr>
              <w:t>[Ingresos Propios]</w:t>
            </w:r>
          </w:p>
        </w:tc>
        <w:tc>
          <w:tcPr>
            <w:tcW w:w="0" w:type="auto"/>
            <w:gridSpan w:val="12"/>
            <w:vAlign w:val="center"/>
          </w:tcPr>
          <w:p w14:paraId="0A709765" w14:textId="77777777" w:rsidR="00F323B5" w:rsidRPr="002150BE" w:rsidRDefault="00F323B5" w:rsidP="00F323B5">
            <w:pPr>
              <w:spacing w:after="0" w:line="240" w:lineRule="auto"/>
              <w:jc w:val="center"/>
              <w:rPr>
                <w:rFonts w:asciiTheme="minorHAnsi" w:eastAsia="Times New Roman" w:hAnsiTheme="minorHAnsi" w:cstheme="minorHAnsi"/>
                <w:color w:val="3A3838"/>
                <w:sz w:val="16"/>
                <w:szCs w:val="16"/>
                <w:lang w:eastAsia="es-MX"/>
              </w:rPr>
            </w:pPr>
            <w:r w:rsidRPr="002150BE">
              <w:rPr>
                <w:rFonts w:asciiTheme="minorHAnsi" w:eastAsia="Times New Roman" w:hAnsiTheme="minorHAnsi" w:cstheme="minorHAnsi"/>
                <w:color w:val="3A3838"/>
                <w:sz w:val="16"/>
                <w:szCs w:val="16"/>
                <w:lang w:eastAsia="es-MX"/>
              </w:rPr>
              <w:t xml:space="preserve">  8.57%</w:t>
            </w:r>
          </w:p>
        </w:tc>
      </w:tr>
      <w:tr w:rsidR="00BC7761" w:rsidRPr="002150BE" w14:paraId="3C43E830" w14:textId="77777777" w:rsidTr="002D2C4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52"/>
        </w:trPr>
        <w:tc>
          <w:tcPr>
            <w:tcW w:w="0" w:type="auto"/>
            <w:gridSpan w:val="15"/>
            <w:shd w:val="clear" w:color="auto" w:fill="F2F2F2" w:themeFill="background1" w:themeFillShade="F2"/>
            <w:noWrap/>
            <w:vAlign w:val="center"/>
            <w:hideMark/>
          </w:tcPr>
          <w:p w14:paraId="0EFE2581" w14:textId="77777777" w:rsidR="00603217" w:rsidRPr="002150BE" w:rsidRDefault="00603217" w:rsidP="00603217">
            <w:pPr>
              <w:spacing w:after="0" w:line="240" w:lineRule="auto"/>
              <w:jc w:val="center"/>
              <w:rPr>
                <w:rFonts w:asciiTheme="minorHAnsi" w:eastAsia="Times New Roman" w:hAnsiTheme="minorHAnsi" w:cstheme="minorHAnsi"/>
                <w:b/>
                <w:bCs/>
                <w:color w:val="000000"/>
                <w:sz w:val="16"/>
                <w:szCs w:val="16"/>
                <w:lang w:eastAsia="es-MX"/>
              </w:rPr>
            </w:pPr>
            <w:r w:rsidRPr="002150BE">
              <w:rPr>
                <w:rFonts w:asciiTheme="minorHAnsi" w:eastAsia="Times New Roman" w:hAnsiTheme="minorHAnsi" w:cstheme="minorHAnsi"/>
                <w:b/>
                <w:bCs/>
                <w:color w:val="000000"/>
                <w:sz w:val="16"/>
                <w:szCs w:val="16"/>
                <w:lang w:eastAsia="es-MX"/>
              </w:rPr>
              <w:t>TOTAL</w:t>
            </w:r>
          </w:p>
        </w:tc>
        <w:tc>
          <w:tcPr>
            <w:tcW w:w="0" w:type="auto"/>
            <w:gridSpan w:val="12"/>
            <w:shd w:val="clear" w:color="auto" w:fill="F2F2F2" w:themeFill="background1" w:themeFillShade="F2"/>
            <w:vAlign w:val="center"/>
            <w:hideMark/>
          </w:tcPr>
          <w:p w14:paraId="46F19091" w14:textId="77777777" w:rsidR="00603217" w:rsidRPr="002150BE" w:rsidRDefault="00603217" w:rsidP="00603217">
            <w:pPr>
              <w:spacing w:after="0" w:line="240" w:lineRule="auto"/>
              <w:jc w:val="center"/>
              <w:rPr>
                <w:rFonts w:asciiTheme="minorHAnsi" w:eastAsia="Times New Roman" w:hAnsiTheme="minorHAnsi" w:cstheme="minorHAnsi"/>
                <w:b/>
                <w:bCs/>
                <w:color w:val="3A3838"/>
                <w:sz w:val="16"/>
                <w:szCs w:val="16"/>
                <w:lang w:eastAsia="es-MX"/>
              </w:rPr>
            </w:pPr>
            <w:r w:rsidRPr="002150BE">
              <w:rPr>
                <w:rFonts w:asciiTheme="minorHAnsi" w:eastAsia="Times New Roman" w:hAnsiTheme="minorHAnsi" w:cstheme="minorHAnsi"/>
                <w:b/>
                <w:bCs/>
                <w:color w:val="3A3838"/>
                <w:sz w:val="16"/>
                <w:szCs w:val="16"/>
                <w:lang w:eastAsia="es-MX"/>
              </w:rPr>
              <w:t>100</w:t>
            </w:r>
          </w:p>
        </w:tc>
      </w:tr>
      <w:tr w:rsidR="00603217" w:rsidRPr="002150BE" w14:paraId="74CEB127" w14:textId="77777777" w:rsidTr="002D2C4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02"/>
        </w:trPr>
        <w:tc>
          <w:tcPr>
            <w:tcW w:w="0" w:type="auto"/>
            <w:gridSpan w:val="27"/>
            <w:shd w:val="clear" w:color="auto" w:fill="7F7F7F" w:themeFill="text1" w:themeFillTint="80"/>
            <w:noWrap/>
            <w:vAlign w:val="center"/>
            <w:hideMark/>
          </w:tcPr>
          <w:p w14:paraId="142F474A" w14:textId="77777777" w:rsidR="00603217" w:rsidRPr="002150BE" w:rsidRDefault="00603217" w:rsidP="00603217">
            <w:pPr>
              <w:spacing w:after="0" w:line="240" w:lineRule="auto"/>
              <w:jc w:val="center"/>
              <w:rPr>
                <w:rFonts w:asciiTheme="minorHAnsi" w:eastAsia="Times New Roman" w:hAnsiTheme="minorHAnsi" w:cstheme="minorHAnsi"/>
                <w:b/>
                <w:bCs/>
                <w:color w:val="FFFFFF"/>
                <w:sz w:val="18"/>
                <w:szCs w:val="16"/>
                <w:lang w:eastAsia="es-MX"/>
              </w:rPr>
            </w:pPr>
            <w:r w:rsidRPr="002150BE">
              <w:rPr>
                <w:rFonts w:asciiTheme="minorHAnsi" w:eastAsia="Times New Roman" w:hAnsiTheme="minorHAnsi" w:cstheme="minorHAnsi"/>
                <w:b/>
                <w:bCs/>
                <w:color w:val="FFFFFF"/>
                <w:sz w:val="18"/>
                <w:szCs w:val="16"/>
                <w:lang w:eastAsia="es-MX"/>
              </w:rPr>
              <w:t xml:space="preserve">Gastos </w:t>
            </w:r>
          </w:p>
        </w:tc>
      </w:tr>
      <w:tr w:rsidR="00BC7761" w:rsidRPr="002150BE" w14:paraId="065311AC" w14:textId="77777777" w:rsidTr="000A4BB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52"/>
        </w:trPr>
        <w:tc>
          <w:tcPr>
            <w:tcW w:w="1849" w:type="dxa"/>
            <w:gridSpan w:val="5"/>
            <w:shd w:val="clear" w:color="auto" w:fill="BFBFBF" w:themeFill="background1" w:themeFillShade="BF"/>
            <w:vAlign w:val="center"/>
            <w:hideMark/>
          </w:tcPr>
          <w:p w14:paraId="386F2C1D" w14:textId="77777777" w:rsidR="00603217" w:rsidRPr="002150BE" w:rsidRDefault="00603217" w:rsidP="00603217">
            <w:pPr>
              <w:spacing w:after="0" w:line="240" w:lineRule="auto"/>
              <w:jc w:val="center"/>
              <w:rPr>
                <w:rFonts w:asciiTheme="minorHAnsi" w:eastAsia="Times New Roman" w:hAnsiTheme="minorHAnsi" w:cstheme="minorHAnsi"/>
                <w:b/>
                <w:bCs/>
                <w:color w:val="3A3838"/>
                <w:sz w:val="16"/>
                <w:szCs w:val="16"/>
                <w:lang w:eastAsia="es-MX"/>
              </w:rPr>
            </w:pPr>
            <w:r w:rsidRPr="002150BE">
              <w:rPr>
                <w:rFonts w:asciiTheme="minorHAnsi" w:eastAsia="Times New Roman" w:hAnsiTheme="minorHAnsi" w:cstheme="minorHAnsi"/>
                <w:b/>
                <w:bCs/>
                <w:color w:val="3A3838"/>
                <w:sz w:val="16"/>
                <w:szCs w:val="16"/>
                <w:lang w:eastAsia="es-MX"/>
              </w:rPr>
              <w:t>Gasto</w:t>
            </w:r>
          </w:p>
        </w:tc>
        <w:tc>
          <w:tcPr>
            <w:tcW w:w="1761" w:type="dxa"/>
            <w:gridSpan w:val="6"/>
            <w:shd w:val="clear" w:color="auto" w:fill="BFBFBF" w:themeFill="background1" w:themeFillShade="BF"/>
            <w:vAlign w:val="center"/>
            <w:hideMark/>
          </w:tcPr>
          <w:p w14:paraId="1BFC339F" w14:textId="77777777" w:rsidR="00603217" w:rsidRPr="002150BE" w:rsidRDefault="00603217" w:rsidP="00603217">
            <w:pPr>
              <w:spacing w:after="0" w:line="240" w:lineRule="auto"/>
              <w:jc w:val="center"/>
              <w:rPr>
                <w:rFonts w:asciiTheme="minorHAnsi" w:eastAsia="Times New Roman" w:hAnsiTheme="minorHAnsi" w:cstheme="minorHAnsi"/>
                <w:b/>
                <w:bCs/>
                <w:color w:val="3A3838"/>
                <w:sz w:val="16"/>
                <w:szCs w:val="16"/>
                <w:lang w:eastAsia="es-MX"/>
              </w:rPr>
            </w:pPr>
            <w:r w:rsidRPr="002150BE">
              <w:rPr>
                <w:rFonts w:asciiTheme="minorHAnsi" w:eastAsia="Times New Roman" w:hAnsiTheme="minorHAnsi" w:cstheme="minorHAnsi"/>
                <w:b/>
                <w:bCs/>
                <w:color w:val="3A3838"/>
                <w:sz w:val="16"/>
                <w:szCs w:val="16"/>
                <w:lang w:eastAsia="es-MX"/>
              </w:rPr>
              <w:t>Metodología</w:t>
            </w:r>
          </w:p>
        </w:tc>
        <w:tc>
          <w:tcPr>
            <w:tcW w:w="3088" w:type="dxa"/>
            <w:gridSpan w:val="9"/>
            <w:shd w:val="clear" w:color="auto" w:fill="BFBFBF" w:themeFill="background1" w:themeFillShade="BF"/>
            <w:vAlign w:val="center"/>
            <w:hideMark/>
          </w:tcPr>
          <w:p w14:paraId="3555217F" w14:textId="77777777" w:rsidR="00603217" w:rsidRPr="002150BE" w:rsidRDefault="00603217" w:rsidP="00603217">
            <w:pPr>
              <w:spacing w:after="0" w:line="240" w:lineRule="auto"/>
              <w:jc w:val="center"/>
              <w:rPr>
                <w:rFonts w:asciiTheme="minorHAnsi" w:eastAsia="Times New Roman" w:hAnsiTheme="minorHAnsi" w:cstheme="minorHAnsi"/>
                <w:b/>
                <w:bCs/>
                <w:color w:val="3A3838"/>
                <w:sz w:val="16"/>
                <w:szCs w:val="16"/>
                <w:lang w:eastAsia="es-MX"/>
              </w:rPr>
            </w:pPr>
            <w:r w:rsidRPr="002150BE">
              <w:rPr>
                <w:rFonts w:asciiTheme="minorHAnsi" w:eastAsia="Times New Roman" w:hAnsiTheme="minorHAnsi" w:cstheme="minorHAnsi"/>
                <w:b/>
                <w:bCs/>
                <w:color w:val="3A3838"/>
                <w:sz w:val="16"/>
                <w:szCs w:val="16"/>
                <w:lang w:eastAsia="es-MX"/>
              </w:rPr>
              <w:t>Estimación</w:t>
            </w:r>
          </w:p>
        </w:tc>
        <w:tc>
          <w:tcPr>
            <w:tcW w:w="2419" w:type="dxa"/>
            <w:gridSpan w:val="7"/>
            <w:shd w:val="clear" w:color="auto" w:fill="BFBFBF" w:themeFill="background1" w:themeFillShade="BF"/>
            <w:vAlign w:val="center"/>
            <w:hideMark/>
          </w:tcPr>
          <w:p w14:paraId="1DF2CA99" w14:textId="77777777" w:rsidR="00603217" w:rsidRPr="002150BE" w:rsidRDefault="00603217" w:rsidP="00603217">
            <w:pPr>
              <w:spacing w:after="0" w:line="240" w:lineRule="auto"/>
              <w:jc w:val="center"/>
              <w:rPr>
                <w:rFonts w:asciiTheme="minorHAnsi" w:eastAsia="Times New Roman" w:hAnsiTheme="minorHAnsi" w:cstheme="minorHAnsi"/>
                <w:b/>
                <w:bCs/>
                <w:color w:val="000000"/>
                <w:sz w:val="16"/>
                <w:szCs w:val="16"/>
                <w:lang w:eastAsia="es-MX"/>
              </w:rPr>
            </w:pPr>
            <w:r w:rsidRPr="002150BE">
              <w:rPr>
                <w:rFonts w:asciiTheme="minorHAnsi" w:eastAsia="Times New Roman" w:hAnsiTheme="minorHAnsi" w:cstheme="minorHAnsi"/>
                <w:b/>
                <w:bCs/>
                <w:color w:val="3A3838"/>
                <w:sz w:val="16"/>
                <w:szCs w:val="16"/>
                <w:lang w:eastAsia="es-MX"/>
              </w:rPr>
              <w:t>Fuente de información</w:t>
            </w:r>
          </w:p>
        </w:tc>
      </w:tr>
      <w:tr w:rsidR="00F323B5" w:rsidRPr="002150BE" w14:paraId="378BC4A6" w14:textId="77777777" w:rsidTr="000A4BB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52"/>
        </w:trPr>
        <w:tc>
          <w:tcPr>
            <w:tcW w:w="1849" w:type="dxa"/>
            <w:gridSpan w:val="5"/>
            <w:shd w:val="clear" w:color="auto" w:fill="D9D9D9" w:themeFill="background1" w:themeFillShade="D9"/>
            <w:vAlign w:val="center"/>
            <w:hideMark/>
          </w:tcPr>
          <w:p w14:paraId="3BD9AEE7" w14:textId="77777777" w:rsidR="00F323B5" w:rsidRPr="002150BE" w:rsidRDefault="00F323B5" w:rsidP="00F323B5">
            <w:pPr>
              <w:spacing w:after="0" w:line="240" w:lineRule="auto"/>
              <w:jc w:val="center"/>
              <w:rPr>
                <w:rFonts w:asciiTheme="minorHAnsi" w:eastAsia="Times New Roman" w:hAnsiTheme="minorHAnsi" w:cstheme="minorHAnsi"/>
                <w:b/>
                <w:bCs/>
                <w:color w:val="000000"/>
                <w:sz w:val="16"/>
                <w:szCs w:val="16"/>
                <w:lang w:eastAsia="es-MX"/>
              </w:rPr>
            </w:pPr>
            <w:r w:rsidRPr="002150BE">
              <w:rPr>
                <w:rFonts w:asciiTheme="minorHAnsi" w:eastAsia="Times New Roman" w:hAnsiTheme="minorHAnsi" w:cstheme="minorHAnsi"/>
                <w:b/>
                <w:bCs/>
                <w:color w:val="000000"/>
                <w:sz w:val="16"/>
                <w:szCs w:val="16"/>
                <w:lang w:eastAsia="es-MX"/>
              </w:rPr>
              <w:t>Operación</w:t>
            </w:r>
          </w:p>
        </w:tc>
        <w:tc>
          <w:tcPr>
            <w:tcW w:w="1761" w:type="dxa"/>
            <w:gridSpan w:val="6"/>
            <w:vAlign w:val="center"/>
            <w:hideMark/>
          </w:tcPr>
          <w:p w14:paraId="2917AF55" w14:textId="77777777" w:rsidR="00F323B5" w:rsidRPr="002150BE" w:rsidRDefault="00F323B5" w:rsidP="00F323B5">
            <w:pPr>
              <w:spacing w:after="0" w:line="240" w:lineRule="auto"/>
              <w:jc w:val="center"/>
              <w:rPr>
                <w:rFonts w:asciiTheme="minorHAnsi" w:eastAsia="Times New Roman" w:hAnsiTheme="minorHAnsi" w:cstheme="minorHAnsi"/>
                <w:b/>
                <w:bCs/>
                <w:color w:val="000000"/>
                <w:sz w:val="16"/>
                <w:szCs w:val="16"/>
                <w:lang w:eastAsia="es-MX"/>
              </w:rPr>
            </w:pPr>
            <w:r w:rsidRPr="002150BE">
              <w:rPr>
                <w:rFonts w:asciiTheme="minorHAnsi" w:hAnsiTheme="minorHAnsi" w:cstheme="minorHAnsi"/>
                <w:sz w:val="16"/>
                <w:szCs w:val="16"/>
              </w:rPr>
              <w:t>-</w:t>
            </w:r>
          </w:p>
        </w:tc>
        <w:tc>
          <w:tcPr>
            <w:tcW w:w="3088" w:type="dxa"/>
            <w:gridSpan w:val="9"/>
            <w:noWrap/>
            <w:vAlign w:val="center"/>
            <w:hideMark/>
          </w:tcPr>
          <w:p w14:paraId="0CAE1A70" w14:textId="77777777" w:rsidR="00F323B5" w:rsidRPr="002150BE" w:rsidRDefault="00F323B5" w:rsidP="00F323B5">
            <w:pPr>
              <w:spacing w:after="0" w:line="240" w:lineRule="auto"/>
              <w:jc w:val="center"/>
              <w:rPr>
                <w:rFonts w:asciiTheme="minorHAnsi" w:eastAsia="Times New Roman" w:hAnsiTheme="minorHAnsi" w:cstheme="minorHAnsi"/>
                <w:color w:val="000000"/>
                <w:sz w:val="16"/>
                <w:szCs w:val="16"/>
                <w:lang w:eastAsia="es-MX"/>
              </w:rPr>
            </w:pPr>
            <w:r w:rsidRPr="002150BE">
              <w:rPr>
                <w:rFonts w:asciiTheme="minorHAnsi" w:hAnsiTheme="minorHAnsi" w:cstheme="minorHAnsi"/>
                <w:sz w:val="16"/>
                <w:szCs w:val="16"/>
              </w:rPr>
              <w:t>26,830,481.00</w:t>
            </w:r>
          </w:p>
        </w:tc>
        <w:tc>
          <w:tcPr>
            <w:tcW w:w="2419" w:type="dxa"/>
            <w:gridSpan w:val="7"/>
            <w:noWrap/>
            <w:vAlign w:val="center"/>
            <w:hideMark/>
          </w:tcPr>
          <w:p w14:paraId="0E38E3E7" w14:textId="77777777" w:rsidR="00F323B5" w:rsidRPr="002150BE" w:rsidRDefault="00F323B5" w:rsidP="00F323B5">
            <w:pPr>
              <w:spacing w:after="0" w:line="240" w:lineRule="auto"/>
              <w:jc w:val="center"/>
              <w:rPr>
                <w:rFonts w:asciiTheme="minorHAnsi" w:eastAsia="Times New Roman" w:hAnsiTheme="minorHAnsi" w:cstheme="minorHAnsi"/>
                <w:color w:val="000000"/>
                <w:sz w:val="16"/>
                <w:szCs w:val="16"/>
                <w:lang w:eastAsia="es-MX"/>
              </w:rPr>
            </w:pPr>
            <w:hyperlink r:id="rId26" w:history="1">
              <w:r w:rsidRPr="002150BE">
                <w:rPr>
                  <w:rStyle w:val="Hipervnculo"/>
                  <w:rFonts w:asciiTheme="minorHAnsi" w:hAnsiTheme="minorHAnsi" w:cstheme="minorHAnsi"/>
                  <w:sz w:val="16"/>
                  <w:szCs w:val="16"/>
                </w:rPr>
                <w:t>https://transparencia.sinaloa.gob.mx/p/ley-de-ingresos-y-presupuesto-de-egresos-del-estado-de-sinaloa-para-el-ejercicio-fiscal-2024</w:t>
              </w:r>
            </w:hyperlink>
            <w:r w:rsidRPr="002150BE">
              <w:rPr>
                <w:rFonts w:asciiTheme="minorHAnsi" w:hAnsiTheme="minorHAnsi" w:cstheme="minorHAnsi"/>
                <w:sz w:val="16"/>
                <w:szCs w:val="16"/>
              </w:rPr>
              <w:t xml:space="preserve"> </w:t>
            </w:r>
          </w:p>
        </w:tc>
      </w:tr>
      <w:tr w:rsidR="00F323B5" w:rsidRPr="002150BE" w14:paraId="269B9530" w14:textId="77777777" w:rsidTr="000A4BB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52"/>
        </w:trPr>
        <w:tc>
          <w:tcPr>
            <w:tcW w:w="1849" w:type="dxa"/>
            <w:gridSpan w:val="5"/>
            <w:shd w:val="clear" w:color="auto" w:fill="D9D9D9" w:themeFill="background1" w:themeFillShade="D9"/>
            <w:vAlign w:val="center"/>
            <w:hideMark/>
          </w:tcPr>
          <w:p w14:paraId="0803E2D5" w14:textId="77777777" w:rsidR="00F323B5" w:rsidRPr="002150BE" w:rsidRDefault="00F323B5" w:rsidP="00F323B5">
            <w:pPr>
              <w:spacing w:after="0" w:line="240" w:lineRule="auto"/>
              <w:jc w:val="center"/>
              <w:rPr>
                <w:rFonts w:asciiTheme="minorHAnsi" w:eastAsia="Times New Roman" w:hAnsiTheme="minorHAnsi" w:cstheme="minorHAnsi"/>
                <w:b/>
                <w:bCs/>
                <w:color w:val="000000"/>
                <w:sz w:val="16"/>
                <w:szCs w:val="16"/>
                <w:lang w:eastAsia="es-MX"/>
              </w:rPr>
            </w:pPr>
            <w:r w:rsidRPr="002150BE">
              <w:rPr>
                <w:rFonts w:asciiTheme="minorHAnsi" w:eastAsia="Times New Roman" w:hAnsiTheme="minorHAnsi" w:cstheme="minorHAnsi"/>
                <w:b/>
                <w:bCs/>
                <w:color w:val="000000"/>
                <w:sz w:val="16"/>
                <w:szCs w:val="16"/>
                <w:lang w:eastAsia="es-MX"/>
              </w:rPr>
              <w:t>Mantenimiento</w:t>
            </w:r>
          </w:p>
        </w:tc>
        <w:tc>
          <w:tcPr>
            <w:tcW w:w="1761" w:type="dxa"/>
            <w:gridSpan w:val="6"/>
            <w:vAlign w:val="center"/>
            <w:hideMark/>
          </w:tcPr>
          <w:p w14:paraId="1821C6A5" w14:textId="77777777" w:rsidR="00F323B5" w:rsidRPr="002150BE" w:rsidRDefault="00F323B5" w:rsidP="00F323B5">
            <w:pPr>
              <w:spacing w:after="0" w:line="240" w:lineRule="auto"/>
              <w:jc w:val="center"/>
              <w:rPr>
                <w:rFonts w:asciiTheme="minorHAnsi" w:eastAsia="Times New Roman" w:hAnsiTheme="minorHAnsi" w:cstheme="minorHAnsi"/>
                <w:b/>
                <w:bCs/>
                <w:color w:val="000000"/>
                <w:sz w:val="16"/>
                <w:szCs w:val="16"/>
                <w:lang w:eastAsia="es-MX"/>
              </w:rPr>
            </w:pPr>
            <w:r w:rsidRPr="002150BE">
              <w:rPr>
                <w:rFonts w:asciiTheme="minorHAnsi" w:eastAsia="Times New Roman" w:hAnsiTheme="minorHAnsi" w:cstheme="minorHAnsi"/>
                <w:b/>
                <w:bCs/>
                <w:color w:val="000000"/>
                <w:sz w:val="16"/>
                <w:szCs w:val="16"/>
                <w:lang w:eastAsia="es-MX"/>
              </w:rPr>
              <w:t> -</w:t>
            </w:r>
          </w:p>
        </w:tc>
        <w:tc>
          <w:tcPr>
            <w:tcW w:w="3088" w:type="dxa"/>
            <w:gridSpan w:val="9"/>
            <w:noWrap/>
            <w:vAlign w:val="bottom"/>
            <w:hideMark/>
          </w:tcPr>
          <w:p w14:paraId="62CE636F" w14:textId="77777777" w:rsidR="00F323B5" w:rsidRPr="002150BE" w:rsidRDefault="00F323B5" w:rsidP="00F323B5">
            <w:pPr>
              <w:spacing w:after="0" w:line="240" w:lineRule="auto"/>
              <w:jc w:val="center"/>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c>
          <w:tcPr>
            <w:tcW w:w="2419" w:type="dxa"/>
            <w:gridSpan w:val="7"/>
            <w:noWrap/>
            <w:vAlign w:val="bottom"/>
            <w:hideMark/>
          </w:tcPr>
          <w:p w14:paraId="22C97BB5" w14:textId="77777777" w:rsidR="00F323B5" w:rsidRPr="002150BE" w:rsidRDefault="00F323B5" w:rsidP="00F323B5">
            <w:pPr>
              <w:spacing w:after="0" w:line="240" w:lineRule="auto"/>
              <w:jc w:val="center"/>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r>
      <w:tr w:rsidR="00F323B5" w:rsidRPr="002150BE" w14:paraId="5B20F8F4" w14:textId="77777777" w:rsidTr="000A4BB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52"/>
        </w:trPr>
        <w:tc>
          <w:tcPr>
            <w:tcW w:w="1849" w:type="dxa"/>
            <w:gridSpan w:val="5"/>
            <w:shd w:val="clear" w:color="auto" w:fill="D9D9D9" w:themeFill="background1" w:themeFillShade="D9"/>
            <w:vAlign w:val="center"/>
            <w:hideMark/>
          </w:tcPr>
          <w:p w14:paraId="39B72263" w14:textId="77777777" w:rsidR="00F323B5" w:rsidRPr="002150BE" w:rsidRDefault="00F323B5" w:rsidP="00F323B5">
            <w:pPr>
              <w:spacing w:after="0" w:line="240" w:lineRule="auto"/>
              <w:jc w:val="center"/>
              <w:rPr>
                <w:rFonts w:asciiTheme="minorHAnsi" w:eastAsia="Times New Roman" w:hAnsiTheme="minorHAnsi" w:cstheme="minorHAnsi"/>
                <w:b/>
                <w:bCs/>
                <w:color w:val="000000"/>
                <w:sz w:val="16"/>
                <w:szCs w:val="16"/>
                <w:lang w:eastAsia="es-MX"/>
              </w:rPr>
            </w:pPr>
            <w:r w:rsidRPr="002150BE">
              <w:rPr>
                <w:rFonts w:asciiTheme="minorHAnsi" w:eastAsia="Times New Roman" w:hAnsiTheme="minorHAnsi" w:cstheme="minorHAnsi"/>
                <w:b/>
                <w:bCs/>
                <w:color w:val="000000"/>
                <w:sz w:val="16"/>
                <w:szCs w:val="16"/>
                <w:lang w:eastAsia="es-MX"/>
              </w:rPr>
              <w:t>Capital</w:t>
            </w:r>
          </w:p>
        </w:tc>
        <w:tc>
          <w:tcPr>
            <w:tcW w:w="1761" w:type="dxa"/>
            <w:gridSpan w:val="6"/>
            <w:vAlign w:val="center"/>
            <w:hideMark/>
          </w:tcPr>
          <w:p w14:paraId="41AF0289" w14:textId="77777777" w:rsidR="00F323B5" w:rsidRPr="002150BE" w:rsidRDefault="00F323B5" w:rsidP="00F323B5">
            <w:pPr>
              <w:spacing w:after="0" w:line="240" w:lineRule="auto"/>
              <w:jc w:val="center"/>
              <w:rPr>
                <w:rFonts w:asciiTheme="minorHAnsi" w:eastAsia="Times New Roman" w:hAnsiTheme="minorHAnsi" w:cstheme="minorHAnsi"/>
                <w:b/>
                <w:bCs/>
                <w:color w:val="000000"/>
                <w:sz w:val="16"/>
                <w:szCs w:val="16"/>
                <w:lang w:eastAsia="es-MX"/>
              </w:rPr>
            </w:pPr>
            <w:r w:rsidRPr="002150BE">
              <w:rPr>
                <w:rFonts w:asciiTheme="minorHAnsi" w:eastAsia="Times New Roman" w:hAnsiTheme="minorHAnsi" w:cstheme="minorHAnsi"/>
                <w:b/>
                <w:bCs/>
                <w:color w:val="000000"/>
                <w:sz w:val="16"/>
                <w:szCs w:val="16"/>
                <w:lang w:eastAsia="es-MX"/>
              </w:rPr>
              <w:t> -</w:t>
            </w:r>
          </w:p>
        </w:tc>
        <w:tc>
          <w:tcPr>
            <w:tcW w:w="3088" w:type="dxa"/>
            <w:gridSpan w:val="9"/>
            <w:noWrap/>
            <w:vAlign w:val="bottom"/>
            <w:hideMark/>
          </w:tcPr>
          <w:p w14:paraId="7201220D" w14:textId="77777777" w:rsidR="00F323B5" w:rsidRPr="002150BE" w:rsidRDefault="00F323B5" w:rsidP="00F323B5">
            <w:pPr>
              <w:spacing w:after="0" w:line="240" w:lineRule="auto"/>
              <w:jc w:val="center"/>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c>
          <w:tcPr>
            <w:tcW w:w="2419" w:type="dxa"/>
            <w:gridSpan w:val="7"/>
            <w:noWrap/>
            <w:vAlign w:val="bottom"/>
            <w:hideMark/>
          </w:tcPr>
          <w:p w14:paraId="30843639" w14:textId="77777777" w:rsidR="00F323B5" w:rsidRPr="002150BE" w:rsidRDefault="00F323B5" w:rsidP="00F323B5">
            <w:pPr>
              <w:spacing w:after="0" w:line="240" w:lineRule="auto"/>
              <w:jc w:val="center"/>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r>
      <w:tr w:rsidR="00F323B5" w:rsidRPr="002150BE" w14:paraId="0CD0ACAB" w14:textId="77777777" w:rsidTr="000A4BB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52"/>
        </w:trPr>
        <w:tc>
          <w:tcPr>
            <w:tcW w:w="1849" w:type="dxa"/>
            <w:gridSpan w:val="5"/>
            <w:shd w:val="clear" w:color="auto" w:fill="D9D9D9" w:themeFill="background1" w:themeFillShade="D9"/>
            <w:noWrap/>
            <w:vAlign w:val="center"/>
            <w:hideMark/>
          </w:tcPr>
          <w:p w14:paraId="1AFB9716" w14:textId="77777777" w:rsidR="00F323B5" w:rsidRPr="002150BE" w:rsidRDefault="00F323B5" w:rsidP="00F323B5">
            <w:pPr>
              <w:spacing w:after="0" w:line="240" w:lineRule="auto"/>
              <w:jc w:val="center"/>
              <w:rPr>
                <w:rFonts w:asciiTheme="minorHAnsi" w:eastAsia="Times New Roman" w:hAnsiTheme="minorHAnsi" w:cstheme="minorHAnsi"/>
                <w:b/>
                <w:bCs/>
                <w:color w:val="000000"/>
                <w:sz w:val="16"/>
                <w:szCs w:val="16"/>
                <w:lang w:eastAsia="es-MX"/>
              </w:rPr>
            </w:pPr>
            <w:r w:rsidRPr="002150BE">
              <w:rPr>
                <w:rFonts w:asciiTheme="minorHAnsi" w:eastAsia="Times New Roman" w:hAnsiTheme="minorHAnsi" w:cstheme="minorHAnsi"/>
                <w:b/>
                <w:bCs/>
                <w:color w:val="000000"/>
                <w:sz w:val="16"/>
                <w:szCs w:val="16"/>
                <w:lang w:eastAsia="es-MX"/>
              </w:rPr>
              <w:t>Unitario</w:t>
            </w:r>
          </w:p>
        </w:tc>
        <w:tc>
          <w:tcPr>
            <w:tcW w:w="1761" w:type="dxa"/>
            <w:gridSpan w:val="6"/>
            <w:vAlign w:val="center"/>
            <w:hideMark/>
          </w:tcPr>
          <w:p w14:paraId="40DFF6CB" w14:textId="77777777" w:rsidR="00F323B5" w:rsidRPr="002150BE" w:rsidRDefault="00F323B5" w:rsidP="00F323B5">
            <w:pPr>
              <w:spacing w:after="0" w:line="240" w:lineRule="auto"/>
              <w:jc w:val="center"/>
              <w:rPr>
                <w:rFonts w:asciiTheme="minorHAnsi" w:eastAsia="Times New Roman" w:hAnsiTheme="minorHAnsi" w:cstheme="minorHAnsi"/>
                <w:b/>
                <w:bCs/>
                <w:color w:val="000000"/>
                <w:sz w:val="16"/>
                <w:szCs w:val="16"/>
                <w:lang w:eastAsia="es-MX"/>
              </w:rPr>
            </w:pPr>
            <w:r w:rsidRPr="002150BE">
              <w:rPr>
                <w:rFonts w:asciiTheme="minorHAnsi" w:eastAsia="Times New Roman" w:hAnsiTheme="minorHAnsi" w:cstheme="minorHAnsi"/>
                <w:b/>
                <w:bCs/>
                <w:color w:val="000000"/>
                <w:sz w:val="16"/>
                <w:szCs w:val="16"/>
                <w:lang w:eastAsia="es-MX"/>
              </w:rPr>
              <w:t> -</w:t>
            </w:r>
          </w:p>
        </w:tc>
        <w:tc>
          <w:tcPr>
            <w:tcW w:w="3088" w:type="dxa"/>
            <w:gridSpan w:val="9"/>
            <w:noWrap/>
            <w:vAlign w:val="bottom"/>
            <w:hideMark/>
          </w:tcPr>
          <w:p w14:paraId="6B0B8E61" w14:textId="77777777" w:rsidR="00F323B5" w:rsidRPr="002150BE" w:rsidRDefault="00F323B5" w:rsidP="00F323B5">
            <w:pPr>
              <w:spacing w:after="0" w:line="240" w:lineRule="auto"/>
              <w:jc w:val="center"/>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c>
          <w:tcPr>
            <w:tcW w:w="2419" w:type="dxa"/>
            <w:gridSpan w:val="7"/>
            <w:noWrap/>
            <w:vAlign w:val="bottom"/>
            <w:hideMark/>
          </w:tcPr>
          <w:p w14:paraId="356207C4" w14:textId="77777777" w:rsidR="00F323B5" w:rsidRPr="002150BE" w:rsidRDefault="00F323B5" w:rsidP="00F323B5">
            <w:pPr>
              <w:spacing w:after="0" w:line="240" w:lineRule="auto"/>
              <w:jc w:val="center"/>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r>
      <w:tr w:rsidR="00F323B5" w:rsidRPr="002150BE" w14:paraId="5871FC61" w14:textId="77777777" w:rsidTr="000A4BB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52"/>
        </w:trPr>
        <w:tc>
          <w:tcPr>
            <w:tcW w:w="1849" w:type="dxa"/>
            <w:gridSpan w:val="5"/>
            <w:shd w:val="clear" w:color="auto" w:fill="D9D9D9" w:themeFill="background1" w:themeFillShade="D9"/>
            <w:noWrap/>
            <w:vAlign w:val="center"/>
            <w:hideMark/>
          </w:tcPr>
          <w:p w14:paraId="3C7CD405" w14:textId="77777777" w:rsidR="00F323B5" w:rsidRPr="002150BE" w:rsidRDefault="00F323B5" w:rsidP="00F323B5">
            <w:pPr>
              <w:spacing w:after="0" w:line="240" w:lineRule="auto"/>
              <w:jc w:val="center"/>
              <w:rPr>
                <w:rFonts w:asciiTheme="minorHAnsi" w:eastAsia="Times New Roman" w:hAnsiTheme="minorHAnsi" w:cstheme="minorHAnsi"/>
                <w:b/>
                <w:bCs/>
                <w:color w:val="000000"/>
                <w:sz w:val="16"/>
                <w:szCs w:val="16"/>
                <w:lang w:eastAsia="es-MX"/>
              </w:rPr>
            </w:pPr>
            <w:r w:rsidRPr="002150BE">
              <w:rPr>
                <w:rFonts w:asciiTheme="minorHAnsi" w:eastAsia="Times New Roman" w:hAnsiTheme="minorHAnsi" w:cstheme="minorHAnsi"/>
                <w:b/>
                <w:bCs/>
                <w:color w:val="000000"/>
                <w:sz w:val="16"/>
                <w:szCs w:val="16"/>
                <w:lang w:eastAsia="es-MX"/>
              </w:rPr>
              <w:t>TOTAL</w:t>
            </w:r>
          </w:p>
        </w:tc>
        <w:tc>
          <w:tcPr>
            <w:tcW w:w="1761" w:type="dxa"/>
            <w:gridSpan w:val="6"/>
            <w:vAlign w:val="center"/>
            <w:hideMark/>
          </w:tcPr>
          <w:p w14:paraId="1BDE8AA0" w14:textId="77777777" w:rsidR="00F323B5" w:rsidRPr="002150BE" w:rsidRDefault="00F323B5" w:rsidP="00F323B5">
            <w:pPr>
              <w:spacing w:after="0" w:line="240" w:lineRule="auto"/>
              <w:jc w:val="center"/>
              <w:rPr>
                <w:rFonts w:asciiTheme="minorHAnsi" w:eastAsia="Times New Roman" w:hAnsiTheme="minorHAnsi" w:cstheme="minorHAnsi"/>
                <w:b/>
                <w:bCs/>
                <w:color w:val="000000"/>
                <w:sz w:val="16"/>
                <w:szCs w:val="16"/>
                <w:lang w:eastAsia="es-MX"/>
              </w:rPr>
            </w:pPr>
            <w:r w:rsidRPr="002150BE">
              <w:rPr>
                <w:rFonts w:asciiTheme="minorHAnsi" w:eastAsia="Times New Roman" w:hAnsiTheme="minorHAnsi" w:cstheme="minorHAnsi"/>
                <w:b/>
                <w:bCs/>
                <w:color w:val="000000"/>
                <w:sz w:val="16"/>
                <w:szCs w:val="16"/>
                <w:lang w:eastAsia="es-MX"/>
              </w:rPr>
              <w:t> -</w:t>
            </w:r>
          </w:p>
        </w:tc>
        <w:tc>
          <w:tcPr>
            <w:tcW w:w="3088" w:type="dxa"/>
            <w:gridSpan w:val="9"/>
            <w:noWrap/>
            <w:vAlign w:val="bottom"/>
            <w:hideMark/>
          </w:tcPr>
          <w:p w14:paraId="4378E88D" w14:textId="77777777" w:rsidR="00F323B5" w:rsidRPr="002150BE" w:rsidRDefault="00F323B5" w:rsidP="00F323B5">
            <w:pPr>
              <w:spacing w:after="0" w:line="240" w:lineRule="auto"/>
              <w:jc w:val="center"/>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c>
          <w:tcPr>
            <w:tcW w:w="2419" w:type="dxa"/>
            <w:gridSpan w:val="7"/>
            <w:noWrap/>
            <w:vAlign w:val="bottom"/>
            <w:hideMark/>
          </w:tcPr>
          <w:p w14:paraId="107E4D8E" w14:textId="77777777" w:rsidR="00F323B5" w:rsidRPr="002150BE" w:rsidRDefault="00F323B5" w:rsidP="00F323B5">
            <w:pPr>
              <w:spacing w:after="0" w:line="240" w:lineRule="auto"/>
              <w:jc w:val="center"/>
              <w:rPr>
                <w:rFonts w:asciiTheme="minorHAnsi" w:eastAsia="Times New Roman" w:hAnsiTheme="minorHAnsi" w:cstheme="minorHAnsi"/>
                <w:color w:val="000000"/>
                <w:sz w:val="16"/>
                <w:szCs w:val="16"/>
                <w:lang w:eastAsia="es-MX"/>
              </w:rPr>
            </w:pPr>
            <w:r w:rsidRPr="002150BE">
              <w:rPr>
                <w:rFonts w:asciiTheme="minorHAnsi" w:eastAsia="Times New Roman" w:hAnsiTheme="minorHAnsi" w:cstheme="minorHAnsi"/>
                <w:color w:val="000000"/>
                <w:sz w:val="16"/>
                <w:szCs w:val="16"/>
                <w:lang w:eastAsia="es-MX"/>
              </w:rPr>
              <w:t> -</w:t>
            </w:r>
          </w:p>
        </w:tc>
      </w:tr>
    </w:tbl>
    <w:p w14:paraId="27EBED22" w14:textId="77777777" w:rsidR="00603217" w:rsidRPr="002150BE" w:rsidRDefault="00603217">
      <w:pPr>
        <w:spacing w:line="276" w:lineRule="auto"/>
        <w:jc w:val="left"/>
        <w:rPr>
          <w:rFonts w:asciiTheme="minorHAnsi" w:hAnsiTheme="minorHAnsi" w:cstheme="minorHAnsi"/>
          <w:lang w:val="es-ES"/>
        </w:rPr>
      </w:pPr>
    </w:p>
    <w:p w14:paraId="20F4E74D" w14:textId="77777777" w:rsidR="00D25998" w:rsidRPr="002150BE" w:rsidRDefault="00D25998">
      <w:pPr>
        <w:spacing w:line="276" w:lineRule="auto"/>
        <w:jc w:val="left"/>
        <w:rPr>
          <w:rFonts w:asciiTheme="minorHAnsi" w:hAnsiTheme="minorHAnsi" w:cstheme="minorHAnsi"/>
          <w:lang w:val="es-ES"/>
        </w:rPr>
      </w:pPr>
    </w:p>
    <w:p w14:paraId="6E5A466B" w14:textId="77777777" w:rsidR="00D25998" w:rsidRPr="002150BE" w:rsidRDefault="00D25998">
      <w:pPr>
        <w:spacing w:line="276" w:lineRule="auto"/>
        <w:jc w:val="left"/>
        <w:rPr>
          <w:rFonts w:asciiTheme="minorHAnsi" w:hAnsiTheme="minorHAnsi" w:cstheme="minorHAnsi"/>
          <w:lang w:val="es-ES"/>
        </w:rPr>
      </w:pPr>
    </w:p>
    <w:p w14:paraId="184C61B9" w14:textId="77777777" w:rsidR="00D25998" w:rsidRPr="002150BE" w:rsidRDefault="00D25998">
      <w:pPr>
        <w:spacing w:line="276" w:lineRule="auto"/>
        <w:jc w:val="left"/>
        <w:rPr>
          <w:rFonts w:asciiTheme="minorHAnsi" w:hAnsiTheme="minorHAnsi" w:cstheme="minorHAnsi"/>
          <w:lang w:val="es-ES"/>
        </w:rPr>
      </w:pPr>
    </w:p>
    <w:p w14:paraId="454DAA95" w14:textId="77777777" w:rsidR="00D25998" w:rsidRPr="002150BE" w:rsidRDefault="00D25998">
      <w:pPr>
        <w:spacing w:line="276" w:lineRule="auto"/>
        <w:jc w:val="left"/>
        <w:rPr>
          <w:rFonts w:asciiTheme="minorHAnsi" w:hAnsiTheme="minorHAnsi" w:cstheme="minorHAnsi"/>
          <w:lang w:val="es-ES"/>
        </w:rPr>
      </w:pPr>
    </w:p>
    <w:p w14:paraId="4F95EEB2" w14:textId="77777777" w:rsidR="00F323B5" w:rsidRPr="002150BE" w:rsidRDefault="00F323B5">
      <w:pPr>
        <w:spacing w:line="276" w:lineRule="auto"/>
        <w:jc w:val="left"/>
        <w:rPr>
          <w:rFonts w:asciiTheme="minorHAnsi" w:hAnsiTheme="minorHAnsi" w:cstheme="minorHAnsi"/>
          <w:lang w:val="es-ES"/>
        </w:rPr>
      </w:pPr>
    </w:p>
    <w:p w14:paraId="45F2F0F7" w14:textId="77777777" w:rsidR="00F323B5" w:rsidRPr="002150BE" w:rsidRDefault="00F323B5">
      <w:pPr>
        <w:spacing w:line="276" w:lineRule="auto"/>
        <w:jc w:val="left"/>
        <w:rPr>
          <w:rFonts w:asciiTheme="minorHAnsi" w:hAnsiTheme="minorHAnsi" w:cstheme="minorHAnsi"/>
          <w:lang w:val="es-ES"/>
        </w:rPr>
      </w:pPr>
    </w:p>
    <w:p w14:paraId="14130674" w14:textId="77777777" w:rsidR="00D25998" w:rsidRPr="002150BE" w:rsidRDefault="00D25998">
      <w:pPr>
        <w:spacing w:line="276" w:lineRule="auto"/>
        <w:jc w:val="left"/>
        <w:rPr>
          <w:rFonts w:asciiTheme="minorHAnsi" w:hAnsiTheme="minorHAnsi" w:cstheme="minorHAnsi"/>
          <w:lang w:val="es-ES"/>
        </w:rPr>
      </w:pPr>
    </w:p>
    <w:p w14:paraId="38EB57FF" w14:textId="77777777" w:rsidR="00D25998" w:rsidRPr="002150BE" w:rsidRDefault="00D25998">
      <w:pPr>
        <w:spacing w:line="276" w:lineRule="auto"/>
        <w:jc w:val="left"/>
        <w:rPr>
          <w:rFonts w:asciiTheme="minorHAnsi" w:hAnsiTheme="minorHAnsi" w:cstheme="minorHAnsi"/>
          <w:lang w:val="es-ES"/>
        </w:rPr>
      </w:pPr>
    </w:p>
    <w:tbl>
      <w:tblPr>
        <w:tblW w:w="0" w:type="auto"/>
        <w:tblInd w:w="-289" w:type="dxa"/>
        <w:tblCellMar>
          <w:left w:w="70" w:type="dxa"/>
          <w:right w:w="70" w:type="dxa"/>
        </w:tblCellMar>
        <w:tblLook w:val="04A0" w:firstRow="1" w:lastRow="0" w:firstColumn="1" w:lastColumn="0" w:noHBand="0" w:noVBand="1"/>
      </w:tblPr>
      <w:tblGrid>
        <w:gridCol w:w="1253"/>
        <w:gridCol w:w="87"/>
        <w:gridCol w:w="1137"/>
        <w:gridCol w:w="1625"/>
        <w:gridCol w:w="2340"/>
        <w:gridCol w:w="2825"/>
      </w:tblGrid>
      <w:tr w:rsidR="00760976" w:rsidRPr="002150BE" w14:paraId="6B2ACC30" w14:textId="77777777" w:rsidTr="009866ED">
        <w:trPr>
          <w:trHeight w:val="397"/>
        </w:trPr>
        <w:tc>
          <w:tcPr>
            <w:tcW w:w="0" w:type="auto"/>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04040" w:themeFill="text1" w:themeFillTint="BF"/>
            <w:vAlign w:val="center"/>
            <w:hideMark/>
          </w:tcPr>
          <w:p w14:paraId="379BB2E5" w14:textId="77777777" w:rsidR="00760976" w:rsidRPr="002150BE" w:rsidRDefault="00760976" w:rsidP="00511C00">
            <w:pPr>
              <w:spacing w:after="0" w:line="240" w:lineRule="auto"/>
              <w:jc w:val="center"/>
              <w:rPr>
                <w:rFonts w:asciiTheme="minorHAnsi" w:eastAsia="Times New Roman" w:hAnsiTheme="minorHAnsi" w:cstheme="minorHAnsi"/>
                <w:b/>
                <w:bCs/>
                <w:color w:val="FFFFFF"/>
                <w:szCs w:val="16"/>
                <w:lang w:eastAsia="es-MX"/>
              </w:rPr>
            </w:pPr>
            <w:r w:rsidRPr="002150BE">
              <w:rPr>
                <w:rFonts w:asciiTheme="minorHAnsi" w:hAnsiTheme="minorHAnsi" w:cstheme="minorHAnsi"/>
                <w:szCs w:val="16"/>
              </w:rPr>
              <w:lastRenderedPageBreak/>
              <w:br w:type="page"/>
            </w:r>
            <w:r w:rsidRPr="002150BE">
              <w:rPr>
                <w:rFonts w:asciiTheme="minorHAnsi" w:eastAsia="Times New Roman" w:hAnsiTheme="minorHAnsi" w:cstheme="minorHAnsi"/>
                <w:b/>
                <w:bCs/>
                <w:color w:val="FFFFFF"/>
                <w:szCs w:val="16"/>
                <w:lang w:eastAsia="es-MX"/>
              </w:rPr>
              <w:t xml:space="preserve">Anexo 9. Alineación a objetivos de la planeación </w:t>
            </w:r>
            <w:r w:rsidR="00511C00" w:rsidRPr="002150BE">
              <w:rPr>
                <w:rFonts w:asciiTheme="minorHAnsi" w:eastAsia="Times New Roman" w:hAnsiTheme="minorHAnsi" w:cstheme="minorHAnsi"/>
                <w:b/>
                <w:bCs/>
                <w:color w:val="FFFFFF"/>
                <w:szCs w:val="16"/>
                <w:lang w:eastAsia="es-MX"/>
              </w:rPr>
              <w:t>estatal</w:t>
            </w:r>
          </w:p>
        </w:tc>
      </w:tr>
      <w:tr w:rsidR="009866ED" w:rsidRPr="002150BE" w14:paraId="54DCACD4" w14:textId="77777777" w:rsidTr="009866ED">
        <w:trPr>
          <w:trHeight w:val="566"/>
        </w:trPr>
        <w:tc>
          <w:tcPr>
            <w:tcW w:w="0" w:type="auto"/>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noWrap/>
            <w:vAlign w:val="center"/>
            <w:hideMark/>
          </w:tcPr>
          <w:p w14:paraId="63E834D6" w14:textId="77777777" w:rsidR="00760976" w:rsidRPr="002150BE" w:rsidRDefault="00760976" w:rsidP="00760976">
            <w:pPr>
              <w:spacing w:after="0" w:line="240" w:lineRule="auto"/>
              <w:rPr>
                <w:rFonts w:asciiTheme="minorHAnsi" w:eastAsia="Times New Roman" w:hAnsiTheme="minorHAnsi" w:cstheme="minorHAnsi"/>
                <w:b/>
                <w:bCs/>
                <w:color w:val="000000"/>
                <w:sz w:val="18"/>
                <w:szCs w:val="16"/>
                <w:lang w:eastAsia="es-MX"/>
              </w:rPr>
            </w:pPr>
            <w:r w:rsidRPr="002150BE">
              <w:rPr>
                <w:rFonts w:asciiTheme="minorHAnsi" w:eastAsia="Times New Roman" w:hAnsiTheme="minorHAnsi" w:cstheme="minorHAnsi"/>
                <w:b/>
                <w:bCs/>
                <w:color w:val="000000"/>
                <w:sz w:val="18"/>
                <w:szCs w:val="16"/>
                <w:lang w:eastAsia="es-MX"/>
              </w:rPr>
              <w:t>Clave y nombre del Pp:</w:t>
            </w:r>
          </w:p>
        </w:tc>
        <w:tc>
          <w:tcPr>
            <w:tcW w:w="0" w:type="auto"/>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5E3FE90E" w14:textId="77777777" w:rsidR="00760976" w:rsidRPr="002150BE" w:rsidRDefault="00F9252A" w:rsidP="00760976">
            <w:pPr>
              <w:spacing w:after="0" w:line="240" w:lineRule="auto"/>
              <w:jc w:val="center"/>
              <w:rPr>
                <w:rFonts w:asciiTheme="minorHAnsi" w:eastAsia="Times New Roman" w:hAnsiTheme="minorHAnsi" w:cstheme="minorHAnsi"/>
                <w:color w:val="000000"/>
                <w:sz w:val="18"/>
                <w:szCs w:val="16"/>
                <w:lang w:eastAsia="es-MX"/>
              </w:rPr>
            </w:pPr>
            <w:r w:rsidRPr="002150BE">
              <w:rPr>
                <w:rFonts w:asciiTheme="minorHAnsi" w:eastAsia="Times New Roman" w:hAnsiTheme="minorHAnsi" w:cstheme="minorHAnsi"/>
                <w:color w:val="000000"/>
                <w:sz w:val="18"/>
                <w:szCs w:val="16"/>
                <w:lang w:eastAsia="es-MX"/>
              </w:rPr>
              <w:t>E053: Servicios de Educación Superior y Posgrado de Calidad </w:t>
            </w:r>
          </w:p>
        </w:tc>
      </w:tr>
      <w:tr w:rsidR="009866ED" w:rsidRPr="002150BE" w14:paraId="41AFC3CD" w14:textId="77777777" w:rsidTr="009866ED">
        <w:trPr>
          <w:trHeight w:val="627"/>
        </w:trPr>
        <w:tc>
          <w:tcPr>
            <w:tcW w:w="0" w:type="auto"/>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hideMark/>
          </w:tcPr>
          <w:p w14:paraId="30DF2CB0" w14:textId="77777777" w:rsidR="00760976" w:rsidRPr="002150BE" w:rsidRDefault="00760976" w:rsidP="00760976">
            <w:pPr>
              <w:spacing w:after="0" w:line="240" w:lineRule="auto"/>
              <w:rPr>
                <w:rFonts w:asciiTheme="minorHAnsi" w:eastAsia="Times New Roman" w:hAnsiTheme="minorHAnsi" w:cstheme="minorHAnsi"/>
                <w:b/>
                <w:bCs/>
                <w:color w:val="000000"/>
                <w:sz w:val="18"/>
                <w:szCs w:val="16"/>
                <w:lang w:eastAsia="es-MX"/>
              </w:rPr>
            </w:pPr>
            <w:r w:rsidRPr="002150BE">
              <w:rPr>
                <w:rFonts w:asciiTheme="minorHAnsi" w:eastAsia="Times New Roman" w:hAnsiTheme="minorHAnsi" w:cstheme="minorHAnsi"/>
                <w:b/>
                <w:bCs/>
                <w:color w:val="000000"/>
                <w:sz w:val="18"/>
                <w:szCs w:val="16"/>
                <w:lang w:eastAsia="es-MX"/>
              </w:rPr>
              <w:t>Objetivo central del Pp evaluado:</w:t>
            </w:r>
          </w:p>
        </w:tc>
        <w:tc>
          <w:tcPr>
            <w:tcW w:w="0" w:type="auto"/>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7CC23673" w14:textId="77777777" w:rsidR="00760976" w:rsidRPr="002150BE" w:rsidRDefault="009866ED" w:rsidP="009179A0">
            <w:pPr>
              <w:spacing w:after="0" w:line="240" w:lineRule="auto"/>
              <w:jc w:val="center"/>
              <w:rPr>
                <w:rFonts w:asciiTheme="minorHAnsi" w:eastAsia="Times New Roman" w:hAnsiTheme="minorHAnsi" w:cstheme="minorHAnsi"/>
                <w:color w:val="000000"/>
                <w:sz w:val="18"/>
                <w:szCs w:val="16"/>
                <w:lang w:eastAsia="es-MX"/>
              </w:rPr>
            </w:pPr>
            <w:r w:rsidRPr="002150BE">
              <w:rPr>
                <w:rFonts w:asciiTheme="minorHAnsi" w:eastAsia="Times New Roman" w:hAnsiTheme="minorHAnsi" w:cstheme="minorHAnsi"/>
                <w:color w:val="000000"/>
                <w:sz w:val="18"/>
                <w:szCs w:val="16"/>
                <w:lang w:eastAsia="es-MX"/>
              </w:rPr>
              <w:t>Los habitantes del estado de Sinaloa egresados de Educación Media Superior cursan programas de educación superior técnica y profesional de calidad con capital humano de excelencia y vinculación con los sectores productivo y social</w:t>
            </w:r>
          </w:p>
        </w:tc>
      </w:tr>
      <w:tr w:rsidR="00BE6E0A" w:rsidRPr="002150BE" w14:paraId="44B2722F" w14:textId="77777777" w:rsidTr="004F7314">
        <w:trPr>
          <w:trHeight w:val="354"/>
        </w:trPr>
        <w:tc>
          <w:tcPr>
            <w:tcW w:w="9117" w:type="dxa"/>
            <w:gridSpan w:val="6"/>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08080" w:themeFill="background1" w:themeFillShade="80"/>
            <w:noWrap/>
            <w:hideMark/>
          </w:tcPr>
          <w:p w14:paraId="0EF76A37" w14:textId="77777777" w:rsidR="00BE6E0A" w:rsidRPr="002150BE" w:rsidRDefault="00BE6E0A" w:rsidP="00BE6E0A">
            <w:pPr>
              <w:spacing w:after="0" w:line="240" w:lineRule="auto"/>
              <w:rPr>
                <w:rFonts w:asciiTheme="minorHAnsi" w:eastAsia="Times New Roman" w:hAnsiTheme="minorHAnsi" w:cstheme="minorHAnsi"/>
                <w:b/>
                <w:bCs/>
                <w:color w:val="FFFFFF"/>
                <w:sz w:val="16"/>
                <w:szCs w:val="16"/>
                <w:lang w:eastAsia="es-MX"/>
              </w:rPr>
            </w:pPr>
            <w:r w:rsidRPr="002150BE">
              <w:rPr>
                <w:rFonts w:asciiTheme="minorHAnsi" w:eastAsia="Times New Roman" w:hAnsiTheme="minorHAnsi" w:cstheme="minorHAnsi"/>
                <w:b/>
                <w:bCs/>
                <w:color w:val="FFFFFF"/>
                <w:sz w:val="16"/>
                <w:szCs w:val="16"/>
                <w:lang w:eastAsia="es-MX"/>
              </w:rPr>
              <w:t>a) Valoración de la alineación establecida PED vigente</w:t>
            </w:r>
          </w:p>
        </w:tc>
      </w:tr>
      <w:tr w:rsidR="009179A0" w:rsidRPr="002150BE" w14:paraId="6A779C0B" w14:textId="77777777" w:rsidTr="009179A0">
        <w:trPr>
          <w:trHeight w:val="487"/>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0CD34361" w14:textId="77777777" w:rsidR="00760976" w:rsidRPr="002150BE" w:rsidRDefault="00760976" w:rsidP="00760976">
            <w:pPr>
              <w:spacing w:after="0" w:line="240" w:lineRule="auto"/>
              <w:jc w:val="center"/>
              <w:rPr>
                <w:rFonts w:asciiTheme="minorHAnsi" w:eastAsia="Times New Roman" w:hAnsiTheme="minorHAnsi" w:cstheme="minorHAnsi"/>
                <w:b/>
                <w:bCs/>
                <w:sz w:val="16"/>
                <w:szCs w:val="16"/>
                <w:lang w:eastAsia="es-MX"/>
              </w:rPr>
            </w:pPr>
            <w:r w:rsidRPr="002150BE">
              <w:rPr>
                <w:rFonts w:asciiTheme="minorHAnsi" w:eastAsia="Times New Roman" w:hAnsiTheme="minorHAnsi" w:cstheme="minorHAnsi"/>
                <w:b/>
                <w:bCs/>
                <w:sz w:val="16"/>
                <w:szCs w:val="16"/>
                <w:lang w:eastAsia="es-MX"/>
              </w:rPr>
              <w:t>Programa derivado</w:t>
            </w:r>
          </w:p>
        </w:tc>
        <w:tc>
          <w:tcPr>
            <w:tcW w:w="277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1FCC8C99" w14:textId="77777777" w:rsidR="00760976" w:rsidRPr="002150BE" w:rsidRDefault="00760976" w:rsidP="00760976">
            <w:pPr>
              <w:spacing w:after="0" w:line="240" w:lineRule="auto"/>
              <w:jc w:val="center"/>
              <w:rPr>
                <w:rFonts w:asciiTheme="minorHAnsi" w:eastAsia="Times New Roman" w:hAnsiTheme="minorHAnsi" w:cstheme="minorHAnsi"/>
                <w:b/>
                <w:bCs/>
                <w:sz w:val="16"/>
                <w:szCs w:val="16"/>
                <w:lang w:eastAsia="es-MX"/>
              </w:rPr>
            </w:pPr>
            <w:r w:rsidRPr="002150BE">
              <w:rPr>
                <w:rFonts w:asciiTheme="minorHAnsi" w:eastAsia="Times New Roman" w:hAnsiTheme="minorHAnsi" w:cstheme="minorHAnsi"/>
                <w:b/>
                <w:bCs/>
                <w:sz w:val="16"/>
                <w:szCs w:val="16"/>
                <w:lang w:eastAsia="es-MX"/>
              </w:rPr>
              <w:t>Objetivo prioritario</w:t>
            </w:r>
          </w:p>
        </w:tc>
        <w:tc>
          <w:tcPr>
            <w:tcW w:w="9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053A9171" w14:textId="77777777" w:rsidR="00760976" w:rsidRPr="002150BE" w:rsidRDefault="00760976" w:rsidP="00760976">
            <w:pPr>
              <w:spacing w:after="0" w:line="240" w:lineRule="auto"/>
              <w:jc w:val="center"/>
              <w:rPr>
                <w:rFonts w:asciiTheme="minorHAnsi" w:eastAsia="Times New Roman" w:hAnsiTheme="minorHAnsi" w:cstheme="minorHAnsi"/>
                <w:b/>
                <w:bCs/>
                <w:sz w:val="16"/>
                <w:szCs w:val="16"/>
                <w:lang w:eastAsia="es-MX"/>
              </w:rPr>
            </w:pPr>
            <w:r w:rsidRPr="002150BE">
              <w:rPr>
                <w:rFonts w:asciiTheme="minorHAnsi" w:eastAsia="Times New Roman" w:hAnsiTheme="minorHAnsi" w:cstheme="minorHAnsi"/>
                <w:b/>
                <w:bCs/>
                <w:sz w:val="16"/>
                <w:szCs w:val="16"/>
                <w:lang w:eastAsia="es-MX"/>
              </w:rPr>
              <w:t>Estrategia prioritaria</w:t>
            </w:r>
          </w:p>
        </w:tc>
        <w:tc>
          <w:tcPr>
            <w:tcW w:w="1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32EA56F2" w14:textId="77777777" w:rsidR="00760976" w:rsidRPr="002150BE" w:rsidRDefault="00760976" w:rsidP="00760976">
            <w:pPr>
              <w:spacing w:after="0" w:line="240" w:lineRule="auto"/>
              <w:jc w:val="center"/>
              <w:rPr>
                <w:rFonts w:asciiTheme="minorHAnsi" w:eastAsia="Times New Roman" w:hAnsiTheme="minorHAnsi" w:cstheme="minorHAnsi"/>
                <w:b/>
                <w:bCs/>
                <w:sz w:val="16"/>
                <w:szCs w:val="16"/>
                <w:lang w:eastAsia="es-MX"/>
              </w:rPr>
            </w:pPr>
            <w:r w:rsidRPr="002150BE">
              <w:rPr>
                <w:rFonts w:asciiTheme="minorHAnsi" w:eastAsia="Times New Roman" w:hAnsiTheme="minorHAnsi" w:cstheme="minorHAnsi"/>
                <w:b/>
                <w:bCs/>
                <w:sz w:val="16"/>
                <w:szCs w:val="16"/>
                <w:lang w:eastAsia="es-MX"/>
              </w:rPr>
              <w:t>Contribución del Pp</w:t>
            </w:r>
          </w:p>
        </w:tc>
        <w:tc>
          <w:tcPr>
            <w:tcW w:w="23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631652E9" w14:textId="77777777" w:rsidR="00760976" w:rsidRPr="002150BE" w:rsidRDefault="00760976" w:rsidP="00760976">
            <w:pPr>
              <w:spacing w:after="0" w:line="240" w:lineRule="auto"/>
              <w:jc w:val="center"/>
              <w:rPr>
                <w:rFonts w:asciiTheme="minorHAnsi" w:eastAsia="Times New Roman" w:hAnsiTheme="minorHAnsi" w:cstheme="minorHAnsi"/>
                <w:b/>
                <w:bCs/>
                <w:sz w:val="16"/>
                <w:szCs w:val="16"/>
                <w:lang w:eastAsia="es-MX"/>
              </w:rPr>
            </w:pPr>
            <w:r w:rsidRPr="002150BE">
              <w:rPr>
                <w:rFonts w:asciiTheme="minorHAnsi" w:eastAsia="Times New Roman" w:hAnsiTheme="minorHAnsi" w:cstheme="minorHAnsi"/>
                <w:b/>
                <w:bCs/>
                <w:sz w:val="16"/>
                <w:szCs w:val="16"/>
                <w:lang w:eastAsia="es-MX"/>
              </w:rPr>
              <w:t>Valoración</w:t>
            </w:r>
          </w:p>
        </w:tc>
      </w:tr>
      <w:tr w:rsidR="009179A0" w:rsidRPr="002150BE" w14:paraId="115C8E51" w14:textId="77777777" w:rsidTr="009179A0">
        <w:trPr>
          <w:trHeight w:val="1122"/>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09AA4550" w14:textId="77777777" w:rsidR="00760976" w:rsidRPr="002150BE" w:rsidRDefault="00760976" w:rsidP="00760976">
            <w:pPr>
              <w:spacing w:after="0" w:line="240" w:lineRule="auto"/>
              <w:jc w:val="center"/>
              <w:rPr>
                <w:rFonts w:asciiTheme="minorHAnsi" w:eastAsia="Times New Roman" w:hAnsiTheme="minorHAnsi" w:cstheme="minorHAnsi"/>
                <w:sz w:val="16"/>
                <w:szCs w:val="16"/>
                <w:lang w:eastAsia="es-MX"/>
              </w:rPr>
            </w:pPr>
            <w:r w:rsidRPr="002150BE">
              <w:rPr>
                <w:rFonts w:asciiTheme="minorHAnsi" w:eastAsia="Times New Roman" w:hAnsiTheme="minorHAnsi" w:cstheme="minorHAnsi"/>
                <w:sz w:val="16"/>
                <w:szCs w:val="16"/>
                <w:lang w:eastAsia="es-MX"/>
              </w:rPr>
              <w:t> </w:t>
            </w:r>
            <w:r w:rsidR="004106B5" w:rsidRPr="002150BE">
              <w:rPr>
                <w:rFonts w:asciiTheme="minorHAnsi" w:eastAsia="Times New Roman" w:hAnsiTheme="minorHAnsi" w:cstheme="minorHAnsi"/>
                <w:sz w:val="16"/>
                <w:szCs w:val="16"/>
                <w:lang w:eastAsia="es-MX"/>
              </w:rPr>
              <w:t>Programa Sectorial de Educación 2022–2027</w:t>
            </w:r>
          </w:p>
        </w:tc>
        <w:tc>
          <w:tcPr>
            <w:tcW w:w="277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6431D671" w14:textId="77777777" w:rsidR="00760976" w:rsidRPr="002150BE" w:rsidRDefault="004C1175" w:rsidP="004C1175">
            <w:pPr>
              <w:spacing w:after="0" w:line="240" w:lineRule="auto"/>
              <w:jc w:val="center"/>
              <w:rPr>
                <w:rFonts w:asciiTheme="minorHAnsi" w:eastAsia="Times New Roman" w:hAnsiTheme="minorHAnsi" w:cstheme="minorHAnsi"/>
                <w:color w:val="FFFFFF"/>
                <w:sz w:val="16"/>
                <w:szCs w:val="16"/>
                <w:lang w:eastAsia="es-MX"/>
              </w:rPr>
            </w:pPr>
            <w:r w:rsidRPr="002150BE">
              <w:rPr>
                <w:rFonts w:asciiTheme="minorHAnsi" w:eastAsia="Times New Roman" w:hAnsiTheme="minorHAnsi" w:cstheme="minorHAnsi"/>
                <w:sz w:val="16"/>
                <w:szCs w:val="16"/>
                <w:lang w:eastAsia="es-MX"/>
              </w:rPr>
              <w:t>Objetivo Prioritario 4.1. Reinstalar y normalizar la vida orgánica de la Comisión Estatal para la Planeación de la Educación Superior (COEPES), atendiendo los lineamientos de aseguramiento de la calidad de la educación superior.</w:t>
            </w:r>
          </w:p>
        </w:tc>
        <w:tc>
          <w:tcPr>
            <w:tcW w:w="9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66FC98B8" w14:textId="77777777" w:rsidR="00760976" w:rsidRPr="002150BE" w:rsidRDefault="004C1175" w:rsidP="004C1175">
            <w:pPr>
              <w:spacing w:after="0" w:line="240" w:lineRule="auto"/>
              <w:jc w:val="center"/>
              <w:rPr>
                <w:rFonts w:asciiTheme="minorHAnsi" w:eastAsia="Times New Roman" w:hAnsiTheme="minorHAnsi" w:cstheme="minorHAnsi"/>
                <w:sz w:val="16"/>
                <w:szCs w:val="16"/>
                <w:lang w:eastAsia="es-MX"/>
              </w:rPr>
            </w:pPr>
            <w:r w:rsidRPr="002150BE">
              <w:rPr>
                <w:rFonts w:asciiTheme="minorHAnsi" w:eastAsia="Times New Roman" w:hAnsiTheme="minorHAnsi" w:cstheme="minorHAnsi"/>
                <w:sz w:val="16"/>
                <w:szCs w:val="16"/>
                <w:lang w:eastAsia="es-MX"/>
              </w:rPr>
              <w:t>Estrategia 4.1.1 y relacionadas. Actualización de planes de estudio, acreditación de programas educativos y articulación de las IES públicas y privadas para un programa compartido de mejora de la educación superior.</w:t>
            </w:r>
          </w:p>
        </w:tc>
        <w:tc>
          <w:tcPr>
            <w:tcW w:w="1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37BCBB9" w14:textId="77777777" w:rsidR="00760976" w:rsidRPr="002150BE" w:rsidRDefault="004C1175" w:rsidP="004C1175">
            <w:pPr>
              <w:spacing w:after="0" w:line="240" w:lineRule="auto"/>
              <w:jc w:val="center"/>
              <w:rPr>
                <w:rFonts w:asciiTheme="minorHAnsi" w:eastAsia="Times New Roman" w:hAnsiTheme="minorHAnsi" w:cstheme="minorHAnsi"/>
                <w:sz w:val="16"/>
                <w:szCs w:val="16"/>
                <w:lang w:eastAsia="es-MX"/>
              </w:rPr>
            </w:pPr>
            <w:r w:rsidRPr="002150BE">
              <w:rPr>
                <w:rFonts w:asciiTheme="minorHAnsi" w:eastAsia="Times New Roman" w:hAnsiTheme="minorHAnsi" w:cstheme="minorHAnsi"/>
                <w:sz w:val="16"/>
                <w:szCs w:val="16"/>
                <w:lang w:eastAsia="es-MX"/>
              </w:rPr>
              <w:t>El Pp E053, a través de la UR (UTC), contribuye a este objetivo al operar programas de TSU e Ingeniería con actualización curricular, procesos de evaluación y acreditación, así como participación en instancias de planeación de la educación superior y en acciones de vinculación con sectores productivos y sociales. Ello se traduce en mejora de procesos y resultados educativos en el nivel superior.</w:t>
            </w:r>
          </w:p>
        </w:tc>
        <w:tc>
          <w:tcPr>
            <w:tcW w:w="23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F433BDE" w14:textId="77777777" w:rsidR="00760976" w:rsidRPr="002150BE" w:rsidRDefault="004C1175" w:rsidP="004C1175">
            <w:pPr>
              <w:spacing w:after="0" w:line="240" w:lineRule="auto"/>
              <w:jc w:val="center"/>
              <w:rPr>
                <w:rFonts w:asciiTheme="minorHAnsi" w:eastAsia="Times New Roman" w:hAnsiTheme="minorHAnsi" w:cstheme="minorHAnsi"/>
                <w:sz w:val="16"/>
                <w:szCs w:val="16"/>
                <w:lang w:eastAsia="es-MX"/>
              </w:rPr>
            </w:pPr>
            <w:r w:rsidRPr="002150BE">
              <w:rPr>
                <w:rFonts w:asciiTheme="minorHAnsi" w:eastAsia="Times New Roman" w:hAnsiTheme="minorHAnsi" w:cstheme="minorHAnsi"/>
                <w:sz w:val="16"/>
                <w:szCs w:val="16"/>
                <w:lang w:eastAsia="es-MX"/>
              </w:rPr>
              <w:t>Pertinente. La alineación es consistente con la función de la UR dentro del sistema de educación superior del estado; se sugiere explicitar la clave “Objetivo Prioritario 4.1” en los documentos de planeación del Pp.</w:t>
            </w:r>
          </w:p>
        </w:tc>
      </w:tr>
      <w:tr w:rsidR="00BE6E0A" w:rsidRPr="002150BE" w14:paraId="0A3E79D2" w14:textId="77777777" w:rsidTr="004F7314">
        <w:trPr>
          <w:trHeight w:val="354"/>
        </w:trPr>
        <w:tc>
          <w:tcPr>
            <w:tcW w:w="9117"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08080" w:themeFill="background1" w:themeFillShade="80"/>
            <w:noWrap/>
            <w:vAlign w:val="center"/>
            <w:hideMark/>
          </w:tcPr>
          <w:p w14:paraId="26CC64A9" w14:textId="77777777" w:rsidR="00BE6E0A" w:rsidRPr="002150BE" w:rsidRDefault="00BE6E0A" w:rsidP="00BE6E0A">
            <w:pPr>
              <w:spacing w:after="0" w:line="240" w:lineRule="auto"/>
              <w:rPr>
                <w:rFonts w:asciiTheme="minorHAnsi" w:eastAsia="Times New Roman" w:hAnsiTheme="minorHAnsi" w:cstheme="minorHAnsi"/>
                <w:b/>
                <w:bCs/>
                <w:color w:val="000000"/>
                <w:sz w:val="16"/>
                <w:szCs w:val="16"/>
                <w:lang w:eastAsia="es-MX"/>
              </w:rPr>
            </w:pPr>
            <w:r w:rsidRPr="002150BE">
              <w:rPr>
                <w:rFonts w:asciiTheme="minorHAnsi" w:eastAsia="Times New Roman" w:hAnsiTheme="minorHAnsi" w:cstheme="minorHAnsi"/>
                <w:b/>
                <w:bCs/>
                <w:color w:val="FFFFFF"/>
                <w:sz w:val="16"/>
                <w:szCs w:val="16"/>
                <w:lang w:eastAsia="es-MX"/>
              </w:rPr>
              <w:t>b) Propuesta de alineación a programas sectoriales o institucionales </w:t>
            </w:r>
          </w:p>
        </w:tc>
      </w:tr>
      <w:tr w:rsidR="009179A0" w:rsidRPr="002150BE" w14:paraId="3E5D61A6" w14:textId="77777777" w:rsidTr="009179A0">
        <w:trPr>
          <w:trHeight w:val="487"/>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19D41946" w14:textId="77777777" w:rsidR="00760976" w:rsidRPr="002150BE" w:rsidRDefault="00760976" w:rsidP="00760976">
            <w:pPr>
              <w:spacing w:after="0" w:line="240" w:lineRule="auto"/>
              <w:jc w:val="center"/>
              <w:rPr>
                <w:rFonts w:asciiTheme="minorHAnsi" w:eastAsia="Times New Roman" w:hAnsiTheme="minorHAnsi" w:cstheme="minorHAnsi"/>
                <w:b/>
                <w:bCs/>
                <w:sz w:val="16"/>
                <w:szCs w:val="16"/>
                <w:lang w:eastAsia="es-MX"/>
              </w:rPr>
            </w:pPr>
            <w:r w:rsidRPr="002150BE">
              <w:rPr>
                <w:rFonts w:asciiTheme="minorHAnsi" w:eastAsia="Times New Roman" w:hAnsiTheme="minorHAnsi" w:cstheme="minorHAnsi"/>
                <w:b/>
                <w:bCs/>
                <w:sz w:val="16"/>
                <w:szCs w:val="16"/>
                <w:lang w:eastAsia="es-MX"/>
              </w:rPr>
              <w:t>Programa derivado</w:t>
            </w:r>
          </w:p>
        </w:tc>
        <w:tc>
          <w:tcPr>
            <w:tcW w:w="277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78DA5DCE" w14:textId="77777777" w:rsidR="00760976" w:rsidRPr="002150BE" w:rsidRDefault="00760976" w:rsidP="00760976">
            <w:pPr>
              <w:spacing w:after="0" w:line="240" w:lineRule="auto"/>
              <w:jc w:val="center"/>
              <w:rPr>
                <w:rFonts w:asciiTheme="minorHAnsi" w:eastAsia="Times New Roman" w:hAnsiTheme="minorHAnsi" w:cstheme="minorHAnsi"/>
                <w:b/>
                <w:bCs/>
                <w:sz w:val="16"/>
                <w:szCs w:val="16"/>
                <w:lang w:eastAsia="es-MX"/>
              </w:rPr>
            </w:pPr>
            <w:r w:rsidRPr="002150BE">
              <w:rPr>
                <w:rFonts w:asciiTheme="minorHAnsi" w:eastAsia="Times New Roman" w:hAnsiTheme="minorHAnsi" w:cstheme="minorHAnsi"/>
                <w:b/>
                <w:bCs/>
                <w:sz w:val="16"/>
                <w:szCs w:val="16"/>
                <w:lang w:eastAsia="es-MX"/>
              </w:rPr>
              <w:t>Objetivo prioritario</w:t>
            </w:r>
          </w:p>
        </w:tc>
        <w:tc>
          <w:tcPr>
            <w:tcW w:w="9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6C4D9DB2" w14:textId="77777777" w:rsidR="00760976" w:rsidRPr="002150BE" w:rsidRDefault="00760976" w:rsidP="00760976">
            <w:pPr>
              <w:spacing w:after="0" w:line="240" w:lineRule="auto"/>
              <w:jc w:val="center"/>
              <w:rPr>
                <w:rFonts w:asciiTheme="minorHAnsi" w:eastAsia="Times New Roman" w:hAnsiTheme="minorHAnsi" w:cstheme="minorHAnsi"/>
                <w:b/>
                <w:bCs/>
                <w:sz w:val="16"/>
                <w:szCs w:val="16"/>
                <w:lang w:eastAsia="es-MX"/>
              </w:rPr>
            </w:pPr>
            <w:r w:rsidRPr="002150BE">
              <w:rPr>
                <w:rFonts w:asciiTheme="minorHAnsi" w:eastAsia="Times New Roman" w:hAnsiTheme="minorHAnsi" w:cstheme="minorHAnsi"/>
                <w:b/>
                <w:bCs/>
                <w:sz w:val="16"/>
                <w:szCs w:val="16"/>
                <w:lang w:eastAsia="es-MX"/>
              </w:rPr>
              <w:t>Estrategia prioritaria</w:t>
            </w:r>
          </w:p>
        </w:tc>
        <w:tc>
          <w:tcPr>
            <w:tcW w:w="1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78A7AB39" w14:textId="77777777" w:rsidR="00760976" w:rsidRPr="002150BE" w:rsidRDefault="00760976" w:rsidP="00760976">
            <w:pPr>
              <w:spacing w:after="0" w:line="240" w:lineRule="auto"/>
              <w:jc w:val="center"/>
              <w:rPr>
                <w:rFonts w:asciiTheme="minorHAnsi" w:eastAsia="Times New Roman" w:hAnsiTheme="minorHAnsi" w:cstheme="minorHAnsi"/>
                <w:b/>
                <w:bCs/>
                <w:sz w:val="16"/>
                <w:szCs w:val="16"/>
                <w:lang w:eastAsia="es-MX"/>
              </w:rPr>
            </w:pPr>
            <w:r w:rsidRPr="002150BE">
              <w:rPr>
                <w:rFonts w:asciiTheme="minorHAnsi" w:eastAsia="Times New Roman" w:hAnsiTheme="minorHAnsi" w:cstheme="minorHAnsi"/>
                <w:b/>
                <w:bCs/>
                <w:sz w:val="16"/>
                <w:szCs w:val="16"/>
                <w:lang w:eastAsia="es-MX"/>
              </w:rPr>
              <w:t>Contribución del Pp</w:t>
            </w:r>
          </w:p>
        </w:tc>
        <w:tc>
          <w:tcPr>
            <w:tcW w:w="23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5360A9C2" w14:textId="77777777" w:rsidR="00760976" w:rsidRPr="002150BE" w:rsidRDefault="00760976" w:rsidP="00760976">
            <w:pPr>
              <w:spacing w:after="0" w:line="240" w:lineRule="auto"/>
              <w:jc w:val="center"/>
              <w:rPr>
                <w:rFonts w:asciiTheme="minorHAnsi" w:eastAsia="Times New Roman" w:hAnsiTheme="minorHAnsi" w:cstheme="minorHAnsi"/>
                <w:b/>
                <w:bCs/>
                <w:sz w:val="16"/>
                <w:szCs w:val="16"/>
                <w:lang w:eastAsia="es-MX"/>
              </w:rPr>
            </w:pPr>
            <w:r w:rsidRPr="002150BE">
              <w:rPr>
                <w:rFonts w:asciiTheme="minorHAnsi" w:eastAsia="Times New Roman" w:hAnsiTheme="minorHAnsi" w:cstheme="minorHAnsi"/>
                <w:b/>
                <w:bCs/>
                <w:sz w:val="16"/>
                <w:szCs w:val="16"/>
                <w:lang w:eastAsia="es-MX"/>
              </w:rPr>
              <w:t>Valoración</w:t>
            </w:r>
          </w:p>
        </w:tc>
      </w:tr>
      <w:tr w:rsidR="009179A0" w:rsidRPr="002150BE" w14:paraId="2FC26AD4" w14:textId="77777777" w:rsidTr="009179A0">
        <w:trPr>
          <w:trHeight w:val="1122"/>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1F7805E8" w14:textId="77777777" w:rsidR="00760976" w:rsidRPr="002150BE" w:rsidRDefault="00760976" w:rsidP="00760976">
            <w:pPr>
              <w:spacing w:after="0" w:line="240" w:lineRule="auto"/>
              <w:jc w:val="center"/>
              <w:rPr>
                <w:rFonts w:asciiTheme="minorHAnsi" w:eastAsia="Times New Roman" w:hAnsiTheme="minorHAnsi" w:cstheme="minorHAnsi"/>
                <w:sz w:val="16"/>
                <w:szCs w:val="16"/>
                <w:lang w:eastAsia="es-MX"/>
              </w:rPr>
            </w:pPr>
            <w:r w:rsidRPr="002150BE">
              <w:rPr>
                <w:rFonts w:asciiTheme="minorHAnsi" w:eastAsia="Times New Roman" w:hAnsiTheme="minorHAnsi" w:cstheme="minorHAnsi"/>
                <w:sz w:val="16"/>
                <w:szCs w:val="16"/>
                <w:lang w:eastAsia="es-MX"/>
              </w:rPr>
              <w:t> </w:t>
            </w:r>
            <w:r w:rsidR="00BE6E0A" w:rsidRPr="002150BE">
              <w:rPr>
                <w:rFonts w:asciiTheme="minorHAnsi" w:eastAsia="Times New Roman" w:hAnsiTheme="minorHAnsi" w:cstheme="minorHAnsi"/>
                <w:sz w:val="16"/>
                <w:szCs w:val="16"/>
                <w:lang w:eastAsia="es-MX"/>
              </w:rPr>
              <w:t>Programa Sectorial de Educación 2022–2027</w:t>
            </w:r>
          </w:p>
        </w:tc>
        <w:tc>
          <w:tcPr>
            <w:tcW w:w="277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5A875EA2" w14:textId="77777777" w:rsidR="00760976" w:rsidRPr="002150BE" w:rsidRDefault="009179A0" w:rsidP="00760976">
            <w:pPr>
              <w:spacing w:after="0" w:line="240" w:lineRule="auto"/>
              <w:jc w:val="center"/>
              <w:rPr>
                <w:rFonts w:asciiTheme="minorHAnsi" w:eastAsia="Times New Roman" w:hAnsiTheme="minorHAnsi" w:cstheme="minorHAnsi"/>
                <w:sz w:val="16"/>
                <w:szCs w:val="16"/>
                <w:lang w:eastAsia="es-MX"/>
              </w:rPr>
            </w:pPr>
            <w:r w:rsidRPr="002150BE">
              <w:rPr>
                <w:rFonts w:asciiTheme="minorHAnsi" w:eastAsia="Times New Roman" w:hAnsiTheme="minorHAnsi" w:cstheme="minorHAnsi"/>
                <w:sz w:val="16"/>
                <w:szCs w:val="16"/>
                <w:lang w:eastAsia="es-MX"/>
              </w:rPr>
              <w:t>Objetivo prioritario 1.1. Asegurar acceso y permanencia en la educación humanista, inclusiva, equitativa y de excelencia para todos en Sinaloa.</w:t>
            </w:r>
            <w:r w:rsidR="00760976" w:rsidRPr="002150BE">
              <w:rPr>
                <w:rFonts w:asciiTheme="minorHAnsi" w:eastAsia="Times New Roman" w:hAnsiTheme="minorHAnsi" w:cstheme="minorHAnsi"/>
                <w:sz w:val="16"/>
                <w:szCs w:val="16"/>
                <w:lang w:eastAsia="es-MX"/>
              </w:rPr>
              <w:t> </w:t>
            </w:r>
          </w:p>
        </w:tc>
        <w:tc>
          <w:tcPr>
            <w:tcW w:w="9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16466663" w14:textId="77777777" w:rsidR="00760976" w:rsidRPr="002150BE" w:rsidRDefault="009179A0" w:rsidP="00760976">
            <w:pPr>
              <w:spacing w:after="0" w:line="240" w:lineRule="auto"/>
              <w:jc w:val="center"/>
              <w:rPr>
                <w:rFonts w:asciiTheme="minorHAnsi" w:eastAsia="Times New Roman" w:hAnsiTheme="minorHAnsi" w:cstheme="minorHAnsi"/>
                <w:sz w:val="16"/>
                <w:szCs w:val="16"/>
                <w:lang w:eastAsia="es-MX"/>
              </w:rPr>
            </w:pPr>
            <w:r w:rsidRPr="002150BE">
              <w:rPr>
                <w:rFonts w:asciiTheme="minorHAnsi" w:eastAsia="Times New Roman" w:hAnsiTheme="minorHAnsi" w:cstheme="minorHAnsi"/>
                <w:sz w:val="16"/>
                <w:szCs w:val="16"/>
                <w:lang w:eastAsia="es-MX"/>
              </w:rPr>
              <w:t>Estrategias 1.1.1 y 1.1.2 (prevención focalizada y sistema de evaluación educativa para la toma de decisiones).</w:t>
            </w:r>
            <w:r w:rsidR="00760976" w:rsidRPr="002150BE">
              <w:rPr>
                <w:rFonts w:asciiTheme="minorHAnsi" w:eastAsia="Times New Roman" w:hAnsiTheme="minorHAnsi" w:cstheme="minorHAnsi"/>
                <w:sz w:val="16"/>
                <w:szCs w:val="16"/>
                <w:lang w:eastAsia="es-MX"/>
              </w:rPr>
              <w:t> </w:t>
            </w:r>
          </w:p>
        </w:tc>
        <w:tc>
          <w:tcPr>
            <w:tcW w:w="1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5D2AF45" w14:textId="77777777" w:rsidR="00760976" w:rsidRPr="002150BE" w:rsidRDefault="009179A0" w:rsidP="00760976">
            <w:pPr>
              <w:spacing w:after="0" w:line="240" w:lineRule="auto"/>
              <w:jc w:val="center"/>
              <w:rPr>
                <w:rFonts w:asciiTheme="minorHAnsi" w:eastAsia="Times New Roman" w:hAnsiTheme="minorHAnsi" w:cstheme="minorHAnsi"/>
                <w:sz w:val="16"/>
                <w:szCs w:val="16"/>
                <w:lang w:eastAsia="es-MX"/>
              </w:rPr>
            </w:pPr>
            <w:r w:rsidRPr="002150BE">
              <w:rPr>
                <w:rFonts w:asciiTheme="minorHAnsi" w:eastAsia="Times New Roman" w:hAnsiTheme="minorHAnsi" w:cstheme="minorHAnsi"/>
                <w:sz w:val="16"/>
                <w:szCs w:val="16"/>
                <w:lang w:eastAsia="es-MX"/>
              </w:rPr>
              <w:t>Se propone que el Pp explicite en su diagnóstico, en el árbol de problemas y objetivos, así como en la MIR 2024, la vinculación directa de su objetivo central con el Objetivo 1.1 y las Estrategias 1.1.1 y 1.1.2, incorporando de forma más clara los enfoques de inclusión, atención a población vulnerable y mejora de resultados educativos en educación superior, especialmente en los municipios de su zona de influencia.</w:t>
            </w:r>
            <w:r w:rsidR="00760976" w:rsidRPr="002150BE">
              <w:rPr>
                <w:rFonts w:asciiTheme="minorHAnsi" w:eastAsia="Times New Roman" w:hAnsiTheme="minorHAnsi" w:cstheme="minorHAnsi"/>
                <w:sz w:val="16"/>
                <w:szCs w:val="16"/>
                <w:lang w:eastAsia="es-MX"/>
              </w:rPr>
              <w:t> </w:t>
            </w:r>
          </w:p>
        </w:tc>
        <w:tc>
          <w:tcPr>
            <w:tcW w:w="23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E9AB299" w14:textId="77777777" w:rsidR="00760976" w:rsidRPr="002150BE" w:rsidRDefault="009179A0" w:rsidP="00760976">
            <w:pPr>
              <w:spacing w:after="0" w:line="240" w:lineRule="auto"/>
              <w:jc w:val="center"/>
              <w:rPr>
                <w:rFonts w:asciiTheme="minorHAnsi" w:eastAsia="Times New Roman" w:hAnsiTheme="minorHAnsi" w:cstheme="minorHAnsi"/>
                <w:sz w:val="16"/>
                <w:szCs w:val="16"/>
                <w:lang w:eastAsia="es-MX"/>
              </w:rPr>
            </w:pPr>
            <w:r w:rsidRPr="002150BE">
              <w:rPr>
                <w:rFonts w:asciiTheme="minorHAnsi" w:eastAsia="Times New Roman" w:hAnsiTheme="minorHAnsi" w:cstheme="minorHAnsi"/>
                <w:sz w:val="16"/>
                <w:szCs w:val="16"/>
                <w:lang w:eastAsia="es-MX"/>
              </w:rPr>
              <w:t>Propuesta pertinente. La contribución ya está implícita en el diseño del Pp y en la MIR; se recomienda formalizar esta alineación en la matriz de correspondencia con el PED para visibilizar el aporte del programa a la educación incluyente.</w:t>
            </w:r>
            <w:r w:rsidR="00760976" w:rsidRPr="002150BE">
              <w:rPr>
                <w:rFonts w:asciiTheme="minorHAnsi" w:eastAsia="Times New Roman" w:hAnsiTheme="minorHAnsi" w:cstheme="minorHAnsi"/>
                <w:sz w:val="16"/>
                <w:szCs w:val="16"/>
                <w:lang w:eastAsia="es-MX"/>
              </w:rPr>
              <w:t> </w:t>
            </w:r>
          </w:p>
        </w:tc>
      </w:tr>
      <w:tr w:rsidR="00BE6E0A" w:rsidRPr="002150BE" w14:paraId="7FF1CE32" w14:textId="77777777" w:rsidTr="009179A0">
        <w:trPr>
          <w:trHeight w:val="1122"/>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50891949" w14:textId="77777777" w:rsidR="00BE6E0A" w:rsidRPr="002150BE" w:rsidRDefault="00BE6E0A" w:rsidP="00760976">
            <w:pPr>
              <w:spacing w:after="0" w:line="240" w:lineRule="auto"/>
              <w:jc w:val="center"/>
              <w:rPr>
                <w:rFonts w:asciiTheme="minorHAnsi" w:eastAsia="Times New Roman" w:hAnsiTheme="minorHAnsi" w:cstheme="minorHAnsi"/>
                <w:b/>
                <w:bCs/>
                <w:color w:val="FFFFFF"/>
                <w:sz w:val="16"/>
                <w:szCs w:val="16"/>
                <w:lang w:eastAsia="es-MX"/>
              </w:rPr>
            </w:pPr>
            <w:r w:rsidRPr="002150BE">
              <w:rPr>
                <w:rFonts w:asciiTheme="minorHAnsi" w:eastAsia="Times New Roman" w:hAnsiTheme="minorHAnsi" w:cstheme="minorHAnsi"/>
                <w:sz w:val="16"/>
                <w:szCs w:val="16"/>
                <w:lang w:eastAsia="es-MX"/>
              </w:rPr>
              <w:t> Programa Sectorial de Educación 2022–2027</w:t>
            </w:r>
          </w:p>
        </w:tc>
        <w:tc>
          <w:tcPr>
            <w:tcW w:w="277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369BF04B" w14:textId="77777777" w:rsidR="00BE6E0A" w:rsidRPr="002150BE" w:rsidRDefault="009179A0" w:rsidP="00760976">
            <w:pPr>
              <w:spacing w:after="0" w:line="240" w:lineRule="auto"/>
              <w:jc w:val="center"/>
              <w:rPr>
                <w:rFonts w:asciiTheme="minorHAnsi" w:eastAsia="Times New Roman" w:hAnsiTheme="minorHAnsi" w:cstheme="minorHAnsi"/>
                <w:sz w:val="16"/>
                <w:szCs w:val="16"/>
                <w:lang w:eastAsia="es-MX"/>
              </w:rPr>
            </w:pPr>
            <w:r w:rsidRPr="002150BE">
              <w:rPr>
                <w:rFonts w:asciiTheme="minorHAnsi" w:eastAsia="Times New Roman" w:hAnsiTheme="minorHAnsi" w:cstheme="minorHAnsi"/>
                <w:sz w:val="16"/>
                <w:szCs w:val="16"/>
                <w:lang w:eastAsia="es-MX"/>
              </w:rPr>
              <w:t>Objetivo 1. Fortalecer y/o actualizar la formación pedagógica y disciplinar del personal académico, así como mejorar sus condiciones de trabajo para elevar la calidad educativa de la UTC.</w:t>
            </w:r>
          </w:p>
        </w:tc>
        <w:tc>
          <w:tcPr>
            <w:tcW w:w="9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175E40DE" w14:textId="77777777" w:rsidR="00BE6E0A" w:rsidRPr="002150BE" w:rsidRDefault="009179A0" w:rsidP="00760976">
            <w:pPr>
              <w:spacing w:after="0" w:line="240" w:lineRule="auto"/>
              <w:jc w:val="center"/>
              <w:rPr>
                <w:rFonts w:asciiTheme="minorHAnsi" w:eastAsia="Times New Roman" w:hAnsiTheme="minorHAnsi" w:cstheme="minorHAnsi"/>
                <w:sz w:val="16"/>
                <w:szCs w:val="16"/>
                <w:lang w:eastAsia="es-MX"/>
              </w:rPr>
            </w:pPr>
            <w:r w:rsidRPr="002150BE">
              <w:rPr>
                <w:rFonts w:asciiTheme="minorHAnsi" w:eastAsia="Times New Roman" w:hAnsiTheme="minorHAnsi" w:cstheme="minorHAnsi"/>
                <w:sz w:val="16"/>
                <w:szCs w:val="16"/>
                <w:lang w:eastAsia="es-MX"/>
              </w:rPr>
              <w:t>Estrategia: Formación y actualización continua de los docentes, fortalecimiento del cuerpo académico y gestión de mejoras en sus condiciones laborales y académicas.</w:t>
            </w:r>
          </w:p>
        </w:tc>
        <w:tc>
          <w:tcPr>
            <w:tcW w:w="1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EB5367" w14:textId="77777777" w:rsidR="00BE6E0A" w:rsidRPr="002150BE" w:rsidRDefault="009179A0" w:rsidP="00760976">
            <w:pPr>
              <w:spacing w:after="0" w:line="240" w:lineRule="auto"/>
              <w:jc w:val="center"/>
              <w:rPr>
                <w:rFonts w:asciiTheme="minorHAnsi" w:eastAsia="Times New Roman" w:hAnsiTheme="minorHAnsi" w:cstheme="minorHAnsi"/>
                <w:sz w:val="16"/>
                <w:szCs w:val="16"/>
                <w:lang w:eastAsia="es-MX"/>
              </w:rPr>
            </w:pPr>
            <w:r w:rsidRPr="002150BE">
              <w:rPr>
                <w:rFonts w:asciiTheme="minorHAnsi" w:eastAsia="Times New Roman" w:hAnsiTheme="minorHAnsi" w:cstheme="minorHAnsi"/>
                <w:sz w:val="16"/>
                <w:szCs w:val="16"/>
                <w:lang w:eastAsia="es-MX"/>
              </w:rPr>
              <w:t>El Pp E053 coadyuva al cumplimiento de este objetivo al captar egresados de EMS que no habían continuado estudios superiores y al establecer mecanismos de seguimiento académico (tutorías, estadías profesionales, vinculación con el sector productivo) que favorecen la permanencia y conclusión de estudios en educación superior tecnológica.</w:t>
            </w:r>
          </w:p>
        </w:tc>
        <w:tc>
          <w:tcPr>
            <w:tcW w:w="23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EB4638" w14:textId="77777777" w:rsidR="00BE6E0A" w:rsidRPr="002150BE" w:rsidRDefault="009179A0" w:rsidP="00760976">
            <w:pPr>
              <w:spacing w:after="0" w:line="240" w:lineRule="auto"/>
              <w:jc w:val="center"/>
              <w:rPr>
                <w:rFonts w:asciiTheme="minorHAnsi" w:eastAsia="Times New Roman" w:hAnsiTheme="minorHAnsi" w:cstheme="minorHAnsi"/>
                <w:sz w:val="16"/>
                <w:szCs w:val="16"/>
                <w:lang w:eastAsia="es-MX"/>
              </w:rPr>
            </w:pPr>
            <w:r w:rsidRPr="002150BE">
              <w:rPr>
                <w:rFonts w:asciiTheme="minorHAnsi" w:eastAsia="Times New Roman" w:hAnsiTheme="minorHAnsi" w:cstheme="minorHAnsi"/>
                <w:sz w:val="16"/>
                <w:szCs w:val="16"/>
                <w:lang w:eastAsia="es-MX"/>
              </w:rPr>
              <w:t>Propuesta pertinente. Se sugiere incorporar esta alineación en los documentos del Pp, particularmente en el diagnóstico y la MIR, para reforzar la lógica de cobertura y permanencia de jóvenes en educación superior.</w:t>
            </w:r>
          </w:p>
        </w:tc>
      </w:tr>
    </w:tbl>
    <w:p w14:paraId="7A805E1B" w14:textId="77777777" w:rsidR="00760976" w:rsidRPr="002150BE" w:rsidRDefault="00760976" w:rsidP="00DF456E">
      <w:pPr>
        <w:tabs>
          <w:tab w:val="left" w:pos="3705"/>
        </w:tabs>
        <w:spacing w:line="276" w:lineRule="auto"/>
        <w:jc w:val="left"/>
        <w:rPr>
          <w:rFonts w:asciiTheme="minorHAnsi" w:hAnsiTheme="minorHAnsi" w:cstheme="minorHAnsi"/>
          <w:lang w:val="es-ES"/>
        </w:rPr>
      </w:pPr>
    </w:p>
    <w:tbl>
      <w:tblPr>
        <w:tblW w:w="0" w:type="auto"/>
        <w:tblInd w:w="-10" w:type="dxa"/>
        <w:tblCellMar>
          <w:left w:w="70" w:type="dxa"/>
          <w:right w:w="70" w:type="dxa"/>
        </w:tblCellMar>
        <w:tblLook w:val="04A0" w:firstRow="1" w:lastRow="0" w:firstColumn="1" w:lastColumn="0" w:noHBand="0" w:noVBand="1"/>
      </w:tblPr>
      <w:tblGrid>
        <w:gridCol w:w="690"/>
        <w:gridCol w:w="121"/>
        <w:gridCol w:w="455"/>
        <w:gridCol w:w="306"/>
        <w:gridCol w:w="306"/>
        <w:gridCol w:w="348"/>
        <w:gridCol w:w="349"/>
        <w:gridCol w:w="141"/>
        <w:gridCol w:w="159"/>
        <w:gridCol w:w="156"/>
        <w:gridCol w:w="141"/>
        <w:gridCol w:w="1106"/>
        <w:gridCol w:w="179"/>
        <w:gridCol w:w="145"/>
        <w:gridCol w:w="121"/>
        <w:gridCol w:w="308"/>
        <w:gridCol w:w="235"/>
        <w:gridCol w:w="308"/>
        <w:gridCol w:w="121"/>
        <w:gridCol w:w="141"/>
        <w:gridCol w:w="121"/>
        <w:gridCol w:w="391"/>
        <w:gridCol w:w="121"/>
        <w:gridCol w:w="183"/>
        <w:gridCol w:w="152"/>
        <w:gridCol w:w="128"/>
        <w:gridCol w:w="128"/>
        <w:gridCol w:w="128"/>
        <w:gridCol w:w="365"/>
        <w:gridCol w:w="131"/>
        <w:gridCol w:w="131"/>
        <w:gridCol w:w="365"/>
        <w:gridCol w:w="128"/>
        <w:gridCol w:w="128"/>
        <w:gridCol w:w="128"/>
        <w:gridCol w:w="424"/>
      </w:tblGrid>
      <w:tr w:rsidR="00760976" w:rsidRPr="002150BE" w14:paraId="0AC6D66A" w14:textId="77777777" w:rsidTr="008F5F25">
        <w:trPr>
          <w:trHeight w:val="397"/>
        </w:trPr>
        <w:tc>
          <w:tcPr>
            <w:tcW w:w="0" w:type="auto"/>
            <w:gridSpan w:val="3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04040" w:themeFill="text1" w:themeFillTint="BF"/>
            <w:vAlign w:val="center"/>
            <w:hideMark/>
          </w:tcPr>
          <w:p w14:paraId="29A71B16" w14:textId="77777777" w:rsidR="00760976" w:rsidRPr="002150BE" w:rsidRDefault="00760976" w:rsidP="00760976">
            <w:pPr>
              <w:spacing w:after="0" w:line="240" w:lineRule="auto"/>
              <w:jc w:val="center"/>
              <w:rPr>
                <w:rFonts w:asciiTheme="minorHAnsi" w:eastAsia="Times New Roman" w:hAnsiTheme="minorHAnsi" w:cstheme="minorHAnsi"/>
                <w:b/>
                <w:bCs/>
                <w:color w:val="FFFFFF"/>
                <w:szCs w:val="18"/>
                <w:lang w:eastAsia="es-MX"/>
              </w:rPr>
            </w:pPr>
            <w:r w:rsidRPr="002150BE">
              <w:rPr>
                <w:rFonts w:asciiTheme="minorHAnsi" w:eastAsia="Times New Roman" w:hAnsiTheme="minorHAnsi" w:cstheme="minorHAnsi"/>
                <w:b/>
                <w:bCs/>
                <w:color w:val="FFFFFF"/>
                <w:szCs w:val="18"/>
                <w:lang w:eastAsia="es-MX"/>
              </w:rPr>
              <w:lastRenderedPageBreak/>
              <w:t>Anexo 10. Alineación a los ODS </w:t>
            </w:r>
          </w:p>
        </w:tc>
      </w:tr>
      <w:tr w:rsidR="00760976" w:rsidRPr="002150BE" w14:paraId="1EF0EE2F" w14:textId="77777777" w:rsidTr="008F5F25">
        <w:trPr>
          <w:trHeight w:val="359"/>
        </w:trPr>
        <w:tc>
          <w:tcPr>
            <w:tcW w:w="0" w:type="auto"/>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noWrap/>
            <w:vAlign w:val="center"/>
            <w:hideMark/>
          </w:tcPr>
          <w:p w14:paraId="091C5590" w14:textId="77777777" w:rsidR="00760976" w:rsidRPr="002150BE" w:rsidRDefault="00760976" w:rsidP="00760976">
            <w:pPr>
              <w:spacing w:after="0" w:line="240" w:lineRule="auto"/>
              <w:rPr>
                <w:rFonts w:asciiTheme="minorHAnsi" w:eastAsia="Times New Roman" w:hAnsiTheme="minorHAnsi" w:cstheme="minorHAnsi"/>
                <w:b/>
                <w:bCs/>
                <w:color w:val="000000"/>
                <w:sz w:val="18"/>
                <w:szCs w:val="18"/>
                <w:lang w:eastAsia="es-MX"/>
              </w:rPr>
            </w:pPr>
            <w:r w:rsidRPr="002150BE">
              <w:rPr>
                <w:rFonts w:asciiTheme="minorHAnsi" w:eastAsia="Times New Roman" w:hAnsiTheme="minorHAnsi" w:cstheme="minorHAnsi"/>
                <w:b/>
                <w:bCs/>
                <w:color w:val="000000"/>
                <w:sz w:val="18"/>
                <w:szCs w:val="18"/>
                <w:lang w:eastAsia="es-MX"/>
              </w:rPr>
              <w:t>Nombre del Pp:</w:t>
            </w:r>
          </w:p>
        </w:tc>
        <w:tc>
          <w:tcPr>
            <w:tcW w:w="0" w:type="auto"/>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1F0B1981" w14:textId="77777777" w:rsidR="00760976" w:rsidRPr="002150BE" w:rsidRDefault="002E7D59" w:rsidP="00760976">
            <w:pPr>
              <w:spacing w:after="0" w:line="240" w:lineRule="auto"/>
              <w:jc w:val="center"/>
              <w:rPr>
                <w:rFonts w:asciiTheme="minorHAnsi" w:eastAsia="Times New Roman" w:hAnsiTheme="minorHAnsi" w:cstheme="minorHAnsi"/>
                <w:color w:val="000000"/>
                <w:sz w:val="18"/>
                <w:szCs w:val="18"/>
                <w:lang w:eastAsia="es-MX"/>
              </w:rPr>
            </w:pPr>
            <w:r w:rsidRPr="002150BE">
              <w:rPr>
                <w:rFonts w:asciiTheme="minorHAnsi" w:eastAsia="Times New Roman" w:hAnsiTheme="minorHAnsi" w:cstheme="minorHAnsi"/>
                <w:color w:val="000000"/>
                <w:sz w:val="18"/>
                <w:szCs w:val="18"/>
                <w:lang w:eastAsia="es-MX"/>
              </w:rPr>
              <w:t>Servicios de Educación Superior y Posgrado de Calidad</w:t>
            </w:r>
            <w:r w:rsidR="00760976" w:rsidRPr="002150BE">
              <w:rPr>
                <w:rFonts w:asciiTheme="minorHAnsi" w:eastAsia="Times New Roman" w:hAnsiTheme="minorHAnsi" w:cstheme="minorHAnsi"/>
                <w:color w:val="000000"/>
                <w:sz w:val="18"/>
                <w:szCs w:val="18"/>
                <w:lang w:eastAsia="es-MX"/>
              </w:rPr>
              <w:t> </w:t>
            </w:r>
          </w:p>
        </w:tc>
        <w:tc>
          <w:tcPr>
            <w:tcW w:w="0" w:type="auto"/>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07DE3971" w14:textId="77777777" w:rsidR="00760976" w:rsidRPr="002150BE" w:rsidRDefault="00760976" w:rsidP="00760976">
            <w:pPr>
              <w:spacing w:after="0" w:line="240" w:lineRule="auto"/>
              <w:jc w:val="center"/>
              <w:rPr>
                <w:rFonts w:asciiTheme="minorHAnsi" w:eastAsia="Times New Roman" w:hAnsiTheme="minorHAnsi" w:cstheme="minorHAnsi"/>
                <w:b/>
                <w:bCs/>
                <w:color w:val="000000"/>
                <w:sz w:val="18"/>
                <w:szCs w:val="18"/>
                <w:lang w:eastAsia="es-MX"/>
              </w:rPr>
            </w:pPr>
            <w:r w:rsidRPr="002150BE">
              <w:rPr>
                <w:rFonts w:asciiTheme="minorHAnsi" w:eastAsia="Times New Roman" w:hAnsiTheme="minorHAnsi" w:cstheme="minorHAnsi"/>
                <w:b/>
                <w:bCs/>
                <w:color w:val="000000"/>
                <w:sz w:val="18"/>
                <w:szCs w:val="18"/>
                <w:lang w:eastAsia="es-MX"/>
              </w:rPr>
              <w:t>Modalidad y clave:</w:t>
            </w:r>
          </w:p>
        </w:tc>
        <w:tc>
          <w:tcPr>
            <w:tcW w:w="0" w:type="auto"/>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734E53C7" w14:textId="77777777" w:rsidR="00760976" w:rsidRPr="002150BE" w:rsidRDefault="002E7D59" w:rsidP="00760976">
            <w:pPr>
              <w:spacing w:after="0" w:line="240" w:lineRule="auto"/>
              <w:jc w:val="center"/>
              <w:rPr>
                <w:rFonts w:asciiTheme="minorHAnsi" w:eastAsia="Times New Roman" w:hAnsiTheme="minorHAnsi" w:cstheme="minorHAnsi"/>
                <w:color w:val="000000"/>
                <w:sz w:val="18"/>
                <w:szCs w:val="18"/>
                <w:lang w:eastAsia="es-MX"/>
              </w:rPr>
            </w:pPr>
            <w:r w:rsidRPr="002150BE">
              <w:rPr>
                <w:rFonts w:asciiTheme="minorHAnsi" w:eastAsia="Times New Roman" w:hAnsiTheme="minorHAnsi" w:cstheme="minorHAnsi"/>
                <w:color w:val="000000"/>
                <w:sz w:val="18"/>
                <w:szCs w:val="18"/>
                <w:lang w:eastAsia="es-MX"/>
              </w:rPr>
              <w:t>E - Prestación de servicios públicos</w:t>
            </w:r>
            <w:r w:rsidR="00760976" w:rsidRPr="002150BE">
              <w:rPr>
                <w:rFonts w:asciiTheme="minorHAnsi" w:eastAsia="Times New Roman" w:hAnsiTheme="minorHAnsi" w:cstheme="minorHAnsi"/>
                <w:color w:val="000000"/>
                <w:sz w:val="18"/>
                <w:szCs w:val="18"/>
                <w:lang w:eastAsia="es-MX"/>
              </w:rPr>
              <w:t> </w:t>
            </w:r>
          </w:p>
        </w:tc>
      </w:tr>
      <w:tr w:rsidR="00760976" w:rsidRPr="002150BE" w14:paraId="59770476" w14:textId="77777777" w:rsidTr="008F5F25">
        <w:trPr>
          <w:trHeight w:val="613"/>
        </w:trPr>
        <w:tc>
          <w:tcPr>
            <w:tcW w:w="0" w:type="auto"/>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1BEE4257" w14:textId="77777777" w:rsidR="00760976" w:rsidRPr="002150BE" w:rsidRDefault="00760976" w:rsidP="00760976">
            <w:pPr>
              <w:spacing w:after="0" w:line="240" w:lineRule="auto"/>
              <w:rPr>
                <w:rFonts w:asciiTheme="minorHAnsi" w:eastAsia="Times New Roman" w:hAnsiTheme="minorHAnsi" w:cstheme="minorHAnsi"/>
                <w:b/>
                <w:bCs/>
                <w:color w:val="000000"/>
                <w:sz w:val="18"/>
                <w:szCs w:val="18"/>
                <w:lang w:eastAsia="es-MX"/>
              </w:rPr>
            </w:pPr>
            <w:r w:rsidRPr="002150BE">
              <w:rPr>
                <w:rFonts w:asciiTheme="minorHAnsi" w:eastAsia="Times New Roman" w:hAnsiTheme="minorHAnsi" w:cstheme="minorHAnsi"/>
                <w:b/>
                <w:bCs/>
                <w:color w:val="000000"/>
                <w:sz w:val="18"/>
                <w:szCs w:val="18"/>
                <w:lang w:eastAsia="es-MX"/>
              </w:rPr>
              <w:t>Objetivo central del Pp evaluado:</w:t>
            </w:r>
          </w:p>
        </w:tc>
        <w:tc>
          <w:tcPr>
            <w:tcW w:w="0" w:type="auto"/>
            <w:gridSpan w:val="3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1E73BF1A" w14:textId="77777777" w:rsidR="00760976" w:rsidRPr="002150BE" w:rsidRDefault="002E7D59" w:rsidP="00760976">
            <w:pPr>
              <w:spacing w:after="0" w:line="240" w:lineRule="auto"/>
              <w:jc w:val="center"/>
              <w:rPr>
                <w:rFonts w:asciiTheme="minorHAnsi" w:eastAsia="Times New Roman" w:hAnsiTheme="minorHAnsi" w:cstheme="minorHAnsi"/>
                <w:color w:val="000000"/>
                <w:sz w:val="18"/>
                <w:szCs w:val="18"/>
                <w:lang w:eastAsia="es-MX"/>
              </w:rPr>
            </w:pPr>
            <w:r w:rsidRPr="002150BE">
              <w:rPr>
                <w:rFonts w:asciiTheme="minorHAnsi" w:eastAsia="Times New Roman" w:hAnsiTheme="minorHAnsi" w:cstheme="minorHAnsi"/>
                <w:color w:val="000000"/>
                <w:sz w:val="18"/>
                <w:szCs w:val="18"/>
                <w:lang w:eastAsia="es-MX"/>
              </w:rPr>
              <w:t>Los habitantes del estado de Sinaloa egresados de Educación Media Superior cursan programas de educación superior técnica y profesional de calidad con capital humano de excelencia y vinculación con los sectores productivo y social</w:t>
            </w:r>
            <w:r w:rsidR="00760976" w:rsidRPr="002150BE">
              <w:rPr>
                <w:rFonts w:asciiTheme="minorHAnsi" w:eastAsia="Times New Roman" w:hAnsiTheme="minorHAnsi" w:cstheme="minorHAnsi"/>
                <w:color w:val="000000"/>
                <w:sz w:val="18"/>
                <w:szCs w:val="18"/>
                <w:lang w:eastAsia="es-MX"/>
              </w:rPr>
              <w:t> </w:t>
            </w:r>
          </w:p>
        </w:tc>
      </w:tr>
      <w:tr w:rsidR="00760976" w:rsidRPr="002150BE" w14:paraId="18ACBCB6" w14:textId="77777777" w:rsidTr="008F5F25">
        <w:trPr>
          <w:trHeight w:val="359"/>
        </w:trPr>
        <w:tc>
          <w:tcPr>
            <w:tcW w:w="0" w:type="auto"/>
            <w:gridSpan w:val="3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F7F7F" w:themeFill="text1" w:themeFillTint="80"/>
            <w:noWrap/>
            <w:vAlign w:val="center"/>
            <w:hideMark/>
          </w:tcPr>
          <w:p w14:paraId="45F30FAA" w14:textId="77777777" w:rsidR="00760976" w:rsidRPr="002150BE" w:rsidRDefault="00760976" w:rsidP="00760976">
            <w:pPr>
              <w:spacing w:after="0" w:line="240" w:lineRule="auto"/>
              <w:jc w:val="center"/>
              <w:rPr>
                <w:rFonts w:asciiTheme="minorHAnsi" w:eastAsia="Times New Roman" w:hAnsiTheme="minorHAnsi" w:cstheme="minorHAnsi"/>
                <w:b/>
                <w:bCs/>
                <w:color w:val="FFFFFF"/>
                <w:sz w:val="18"/>
                <w:szCs w:val="18"/>
                <w:lang w:eastAsia="es-MX"/>
              </w:rPr>
            </w:pPr>
            <w:r w:rsidRPr="002150BE">
              <w:rPr>
                <w:rFonts w:asciiTheme="minorHAnsi" w:eastAsia="Times New Roman" w:hAnsiTheme="minorHAnsi" w:cstheme="minorHAnsi"/>
                <w:b/>
                <w:bCs/>
                <w:color w:val="FFFFFF"/>
                <w:sz w:val="18"/>
                <w:szCs w:val="18"/>
                <w:lang w:eastAsia="es-MX"/>
              </w:rPr>
              <w:t>Vinculación establecida por el Pp</w:t>
            </w:r>
          </w:p>
        </w:tc>
      </w:tr>
      <w:tr w:rsidR="00095F09" w:rsidRPr="002150BE" w14:paraId="5A6E6EB0" w14:textId="77777777" w:rsidTr="000A4BBB">
        <w:trPr>
          <w:trHeight w:val="254"/>
        </w:trPr>
        <w:tc>
          <w:tcPr>
            <w:tcW w:w="0" w:type="auto"/>
            <w:tcBorders>
              <w:top w:val="nil"/>
              <w:left w:val="single" w:sz="4" w:space="0" w:color="BFBFBF" w:themeColor="background1" w:themeShade="BF"/>
              <w:right w:val="nil"/>
            </w:tcBorders>
            <w:noWrap/>
            <w:vAlign w:val="center"/>
            <w:hideMark/>
          </w:tcPr>
          <w:p w14:paraId="35D03E53" w14:textId="77777777" w:rsidR="00760976" w:rsidRPr="002150BE" w:rsidRDefault="00760976" w:rsidP="00760976">
            <w:pPr>
              <w:spacing w:after="0" w:line="240" w:lineRule="auto"/>
              <w:rPr>
                <w:rFonts w:asciiTheme="minorHAnsi" w:eastAsia="Times New Roman" w:hAnsiTheme="minorHAnsi" w:cstheme="minorHAnsi"/>
                <w:color w:val="000000"/>
                <w:sz w:val="18"/>
                <w:szCs w:val="18"/>
                <w:lang w:eastAsia="es-MX"/>
              </w:rPr>
            </w:pPr>
            <w:r w:rsidRPr="002150BE">
              <w:rPr>
                <w:rFonts w:asciiTheme="minorHAnsi" w:eastAsia="Times New Roman" w:hAnsiTheme="minorHAnsi" w:cstheme="minorHAnsi"/>
                <w:color w:val="000000"/>
                <w:sz w:val="18"/>
                <w:szCs w:val="18"/>
                <w:lang w:eastAsia="es-MX"/>
              </w:rPr>
              <w:t> </w:t>
            </w:r>
          </w:p>
        </w:tc>
        <w:tc>
          <w:tcPr>
            <w:tcW w:w="0" w:type="auto"/>
            <w:gridSpan w:val="2"/>
            <w:tcBorders>
              <w:top w:val="nil"/>
              <w:left w:val="nil"/>
              <w:right w:val="nil"/>
            </w:tcBorders>
            <w:noWrap/>
            <w:vAlign w:val="bottom"/>
            <w:hideMark/>
          </w:tcPr>
          <w:p w14:paraId="10F3D670" w14:textId="77777777" w:rsidR="00760976" w:rsidRPr="002150BE" w:rsidRDefault="00760976" w:rsidP="00760976">
            <w:pPr>
              <w:spacing w:after="0" w:line="240" w:lineRule="auto"/>
              <w:rPr>
                <w:rFonts w:asciiTheme="minorHAnsi" w:eastAsia="Times New Roman" w:hAnsiTheme="minorHAnsi" w:cstheme="minorHAnsi"/>
                <w:color w:val="000000"/>
                <w:sz w:val="18"/>
                <w:szCs w:val="18"/>
                <w:lang w:eastAsia="es-MX"/>
              </w:rPr>
            </w:pPr>
          </w:p>
          <w:tbl>
            <w:tblPr>
              <w:tblW w:w="0" w:type="auto"/>
              <w:tblCellSpacing w:w="0" w:type="dxa"/>
              <w:tblCellMar>
                <w:left w:w="0" w:type="dxa"/>
                <w:right w:w="0" w:type="dxa"/>
              </w:tblCellMar>
              <w:tblLook w:val="04A0" w:firstRow="1" w:lastRow="0" w:firstColumn="1" w:lastColumn="0" w:noHBand="0" w:noVBand="1"/>
            </w:tblPr>
            <w:tblGrid>
              <w:gridCol w:w="348"/>
            </w:tblGrid>
            <w:tr w:rsidR="00760976" w:rsidRPr="002150BE" w14:paraId="55FAF3E6" w14:textId="77777777" w:rsidTr="007E1E04">
              <w:trPr>
                <w:trHeight w:val="254"/>
                <w:tblCellSpacing w:w="0" w:type="dxa"/>
              </w:trPr>
              <w:tc>
                <w:tcPr>
                  <w:tcW w:w="348" w:type="dxa"/>
                  <w:tcBorders>
                    <w:top w:val="nil"/>
                    <w:left w:val="nil"/>
                    <w:bottom w:val="nil"/>
                    <w:right w:val="nil"/>
                  </w:tcBorders>
                  <w:noWrap/>
                  <w:vAlign w:val="center"/>
                  <w:hideMark/>
                </w:tcPr>
                <w:p w14:paraId="757649D2" w14:textId="77777777" w:rsidR="00760976" w:rsidRPr="002150BE" w:rsidRDefault="00760976" w:rsidP="00760976">
                  <w:pPr>
                    <w:spacing w:after="0" w:line="240" w:lineRule="auto"/>
                    <w:rPr>
                      <w:rFonts w:asciiTheme="minorHAnsi" w:eastAsia="Times New Roman" w:hAnsiTheme="minorHAnsi" w:cstheme="minorHAnsi"/>
                      <w:color w:val="000000"/>
                      <w:sz w:val="18"/>
                      <w:szCs w:val="18"/>
                      <w:lang w:eastAsia="es-MX"/>
                    </w:rPr>
                  </w:pPr>
                </w:p>
              </w:tc>
            </w:tr>
          </w:tbl>
          <w:p w14:paraId="176BAD14" w14:textId="77777777" w:rsidR="00760976" w:rsidRPr="002150BE" w:rsidRDefault="00760976" w:rsidP="00760976">
            <w:pPr>
              <w:spacing w:after="0" w:line="240" w:lineRule="auto"/>
              <w:rPr>
                <w:rFonts w:asciiTheme="minorHAnsi" w:eastAsia="Times New Roman" w:hAnsiTheme="minorHAnsi" w:cstheme="minorHAnsi"/>
                <w:color w:val="000000"/>
                <w:sz w:val="18"/>
                <w:szCs w:val="18"/>
                <w:lang w:eastAsia="es-MX"/>
              </w:rPr>
            </w:pPr>
          </w:p>
        </w:tc>
        <w:tc>
          <w:tcPr>
            <w:tcW w:w="0" w:type="auto"/>
            <w:tcBorders>
              <w:top w:val="nil"/>
              <w:left w:val="nil"/>
              <w:right w:val="nil"/>
            </w:tcBorders>
            <w:noWrap/>
            <w:vAlign w:val="center"/>
            <w:hideMark/>
          </w:tcPr>
          <w:p w14:paraId="18DB88AC" w14:textId="77777777" w:rsidR="00760976" w:rsidRPr="002150BE" w:rsidRDefault="00760976" w:rsidP="00760976">
            <w:pPr>
              <w:spacing w:after="0" w:line="240" w:lineRule="auto"/>
              <w:rPr>
                <w:rFonts w:asciiTheme="minorHAnsi" w:eastAsia="Times New Roman" w:hAnsiTheme="minorHAnsi" w:cstheme="minorHAnsi"/>
                <w:sz w:val="18"/>
                <w:szCs w:val="18"/>
                <w:lang w:eastAsia="es-MX"/>
              </w:rPr>
            </w:pPr>
          </w:p>
        </w:tc>
        <w:tc>
          <w:tcPr>
            <w:tcW w:w="0" w:type="auto"/>
            <w:tcBorders>
              <w:top w:val="nil"/>
              <w:left w:val="nil"/>
              <w:right w:val="nil"/>
            </w:tcBorders>
            <w:noWrap/>
            <w:vAlign w:val="center"/>
            <w:hideMark/>
          </w:tcPr>
          <w:p w14:paraId="3916EF00" w14:textId="77777777" w:rsidR="00760976" w:rsidRPr="002150BE" w:rsidRDefault="00760976" w:rsidP="00760976">
            <w:pPr>
              <w:spacing w:after="0" w:line="240" w:lineRule="auto"/>
              <w:rPr>
                <w:rFonts w:asciiTheme="minorHAnsi" w:eastAsia="Times New Roman" w:hAnsiTheme="minorHAnsi" w:cstheme="minorHAnsi"/>
                <w:sz w:val="18"/>
                <w:szCs w:val="18"/>
                <w:lang w:eastAsia="es-MX"/>
              </w:rPr>
            </w:pPr>
          </w:p>
        </w:tc>
        <w:tc>
          <w:tcPr>
            <w:tcW w:w="0" w:type="auto"/>
            <w:tcBorders>
              <w:top w:val="nil"/>
              <w:left w:val="nil"/>
              <w:right w:val="nil"/>
            </w:tcBorders>
            <w:noWrap/>
            <w:vAlign w:val="center"/>
            <w:hideMark/>
          </w:tcPr>
          <w:p w14:paraId="3FDB9589" w14:textId="77777777" w:rsidR="00760976" w:rsidRPr="002150BE" w:rsidRDefault="00760976" w:rsidP="00760976">
            <w:pPr>
              <w:spacing w:after="0" w:line="240" w:lineRule="auto"/>
              <w:rPr>
                <w:rFonts w:asciiTheme="minorHAnsi" w:eastAsia="Times New Roman" w:hAnsiTheme="minorHAnsi" w:cstheme="minorHAnsi"/>
                <w:sz w:val="18"/>
                <w:szCs w:val="18"/>
                <w:lang w:eastAsia="es-MX"/>
              </w:rPr>
            </w:pPr>
          </w:p>
        </w:tc>
        <w:tc>
          <w:tcPr>
            <w:tcW w:w="0" w:type="auto"/>
            <w:tcBorders>
              <w:top w:val="nil"/>
              <w:left w:val="nil"/>
              <w:right w:val="nil"/>
            </w:tcBorders>
            <w:noWrap/>
            <w:vAlign w:val="center"/>
            <w:hideMark/>
          </w:tcPr>
          <w:p w14:paraId="66048DFF" w14:textId="77777777" w:rsidR="00760976" w:rsidRPr="002150BE" w:rsidRDefault="00760976" w:rsidP="00760976">
            <w:pPr>
              <w:spacing w:after="0" w:line="240" w:lineRule="auto"/>
              <w:rPr>
                <w:rFonts w:asciiTheme="minorHAnsi" w:eastAsia="Times New Roman" w:hAnsiTheme="minorHAnsi" w:cstheme="minorHAnsi"/>
                <w:sz w:val="18"/>
                <w:szCs w:val="18"/>
                <w:lang w:eastAsia="es-MX"/>
              </w:rPr>
            </w:pPr>
          </w:p>
        </w:tc>
        <w:tc>
          <w:tcPr>
            <w:tcW w:w="0" w:type="auto"/>
            <w:gridSpan w:val="2"/>
            <w:tcBorders>
              <w:top w:val="nil"/>
              <w:left w:val="nil"/>
              <w:right w:val="nil"/>
            </w:tcBorders>
            <w:noWrap/>
            <w:vAlign w:val="center"/>
            <w:hideMark/>
          </w:tcPr>
          <w:p w14:paraId="57C858AF" w14:textId="77777777" w:rsidR="00760976" w:rsidRPr="002150BE" w:rsidRDefault="00760976" w:rsidP="00760976">
            <w:pPr>
              <w:spacing w:after="0" w:line="240" w:lineRule="auto"/>
              <w:rPr>
                <w:rFonts w:asciiTheme="minorHAnsi" w:eastAsia="Times New Roman" w:hAnsiTheme="minorHAnsi" w:cstheme="minorHAnsi"/>
                <w:sz w:val="18"/>
                <w:szCs w:val="18"/>
                <w:lang w:eastAsia="es-MX"/>
              </w:rPr>
            </w:pPr>
          </w:p>
        </w:tc>
        <w:tc>
          <w:tcPr>
            <w:tcW w:w="0" w:type="auto"/>
            <w:gridSpan w:val="2"/>
            <w:tcBorders>
              <w:top w:val="nil"/>
              <w:left w:val="nil"/>
              <w:right w:val="nil"/>
            </w:tcBorders>
            <w:noWrap/>
            <w:vAlign w:val="center"/>
            <w:hideMark/>
          </w:tcPr>
          <w:p w14:paraId="3BFF24BD" w14:textId="77777777" w:rsidR="00760976" w:rsidRPr="002150BE" w:rsidRDefault="00760976" w:rsidP="00760976">
            <w:pPr>
              <w:spacing w:after="0" w:line="240" w:lineRule="auto"/>
              <w:rPr>
                <w:rFonts w:asciiTheme="minorHAnsi" w:eastAsia="Times New Roman" w:hAnsiTheme="minorHAnsi" w:cstheme="minorHAnsi"/>
                <w:sz w:val="18"/>
                <w:szCs w:val="18"/>
                <w:lang w:eastAsia="es-MX"/>
              </w:rPr>
            </w:pPr>
          </w:p>
        </w:tc>
        <w:tc>
          <w:tcPr>
            <w:tcW w:w="632" w:type="dxa"/>
            <w:tcBorders>
              <w:top w:val="nil"/>
              <w:left w:val="nil"/>
              <w:right w:val="nil"/>
            </w:tcBorders>
            <w:noWrap/>
            <w:vAlign w:val="center"/>
            <w:hideMark/>
          </w:tcPr>
          <w:p w14:paraId="46314778" w14:textId="77777777" w:rsidR="00760976" w:rsidRPr="002150BE" w:rsidRDefault="00760976" w:rsidP="00760976">
            <w:pPr>
              <w:spacing w:after="0" w:line="240" w:lineRule="auto"/>
              <w:rPr>
                <w:rFonts w:asciiTheme="minorHAnsi" w:eastAsia="Times New Roman" w:hAnsiTheme="minorHAnsi" w:cstheme="minorHAnsi"/>
                <w:sz w:val="18"/>
                <w:szCs w:val="18"/>
                <w:lang w:eastAsia="es-MX"/>
              </w:rPr>
            </w:pPr>
          </w:p>
        </w:tc>
        <w:tc>
          <w:tcPr>
            <w:tcW w:w="358" w:type="dxa"/>
            <w:gridSpan w:val="2"/>
            <w:tcBorders>
              <w:top w:val="nil"/>
              <w:left w:val="nil"/>
              <w:right w:val="nil"/>
            </w:tcBorders>
            <w:noWrap/>
            <w:vAlign w:val="center"/>
            <w:hideMark/>
          </w:tcPr>
          <w:p w14:paraId="6B8F9424" w14:textId="77777777" w:rsidR="00760976" w:rsidRPr="002150BE" w:rsidRDefault="00760976" w:rsidP="00760976">
            <w:pPr>
              <w:spacing w:after="0" w:line="240" w:lineRule="auto"/>
              <w:rPr>
                <w:rFonts w:asciiTheme="minorHAnsi" w:eastAsia="Times New Roman" w:hAnsiTheme="minorHAnsi" w:cstheme="minorHAnsi"/>
                <w:sz w:val="18"/>
                <w:szCs w:val="18"/>
                <w:lang w:eastAsia="es-MX"/>
              </w:rPr>
            </w:pPr>
          </w:p>
        </w:tc>
        <w:tc>
          <w:tcPr>
            <w:tcW w:w="0" w:type="auto"/>
            <w:gridSpan w:val="6"/>
            <w:tcBorders>
              <w:top w:val="nil"/>
              <w:left w:val="nil"/>
              <w:right w:val="nil"/>
            </w:tcBorders>
            <w:noWrap/>
            <w:vAlign w:val="center"/>
            <w:hideMark/>
          </w:tcPr>
          <w:p w14:paraId="7E332934" w14:textId="77777777" w:rsidR="00760976" w:rsidRPr="002150BE" w:rsidRDefault="00760976" w:rsidP="00760976">
            <w:pPr>
              <w:spacing w:after="0" w:line="240" w:lineRule="auto"/>
              <w:rPr>
                <w:rFonts w:asciiTheme="minorHAnsi" w:eastAsia="Times New Roman" w:hAnsiTheme="minorHAnsi" w:cstheme="minorHAnsi"/>
                <w:sz w:val="18"/>
                <w:szCs w:val="18"/>
                <w:lang w:eastAsia="es-MX"/>
              </w:rPr>
            </w:pPr>
          </w:p>
        </w:tc>
        <w:tc>
          <w:tcPr>
            <w:tcW w:w="1147" w:type="dxa"/>
            <w:gridSpan w:val="2"/>
            <w:tcBorders>
              <w:top w:val="nil"/>
              <w:left w:val="nil"/>
              <w:right w:val="nil"/>
            </w:tcBorders>
            <w:noWrap/>
            <w:vAlign w:val="center"/>
            <w:hideMark/>
          </w:tcPr>
          <w:p w14:paraId="0BC0A11C" w14:textId="77777777" w:rsidR="00760976" w:rsidRPr="002150BE" w:rsidRDefault="00760976" w:rsidP="00760976">
            <w:pPr>
              <w:spacing w:after="0" w:line="240" w:lineRule="auto"/>
              <w:rPr>
                <w:rFonts w:asciiTheme="minorHAnsi" w:eastAsia="Times New Roman" w:hAnsiTheme="minorHAnsi" w:cstheme="minorHAnsi"/>
                <w:sz w:val="18"/>
                <w:szCs w:val="18"/>
                <w:lang w:eastAsia="es-MX"/>
              </w:rPr>
            </w:pPr>
          </w:p>
        </w:tc>
        <w:tc>
          <w:tcPr>
            <w:tcW w:w="462" w:type="dxa"/>
            <w:gridSpan w:val="3"/>
            <w:tcBorders>
              <w:top w:val="nil"/>
              <w:left w:val="nil"/>
              <w:right w:val="nil"/>
            </w:tcBorders>
            <w:noWrap/>
            <w:vAlign w:val="center"/>
            <w:hideMark/>
          </w:tcPr>
          <w:p w14:paraId="77F17454" w14:textId="77777777" w:rsidR="00760976" w:rsidRPr="002150BE" w:rsidRDefault="00760976" w:rsidP="00760976">
            <w:pPr>
              <w:spacing w:after="0" w:line="240" w:lineRule="auto"/>
              <w:rPr>
                <w:rFonts w:asciiTheme="minorHAnsi" w:eastAsia="Times New Roman" w:hAnsiTheme="minorHAnsi" w:cstheme="minorHAnsi"/>
                <w:sz w:val="18"/>
                <w:szCs w:val="18"/>
                <w:lang w:eastAsia="es-MX"/>
              </w:rPr>
            </w:pPr>
          </w:p>
        </w:tc>
        <w:tc>
          <w:tcPr>
            <w:tcW w:w="0" w:type="auto"/>
            <w:gridSpan w:val="3"/>
            <w:tcBorders>
              <w:top w:val="nil"/>
              <w:left w:val="nil"/>
              <w:right w:val="nil"/>
            </w:tcBorders>
            <w:noWrap/>
            <w:vAlign w:val="center"/>
            <w:hideMark/>
          </w:tcPr>
          <w:p w14:paraId="0508AD76" w14:textId="77777777" w:rsidR="00760976" w:rsidRPr="002150BE" w:rsidRDefault="00760976" w:rsidP="00760976">
            <w:pPr>
              <w:spacing w:after="0" w:line="240" w:lineRule="auto"/>
              <w:rPr>
                <w:rFonts w:asciiTheme="minorHAnsi" w:eastAsia="Times New Roman" w:hAnsiTheme="minorHAnsi" w:cstheme="minorHAnsi"/>
                <w:sz w:val="18"/>
                <w:szCs w:val="18"/>
                <w:lang w:eastAsia="es-MX"/>
              </w:rPr>
            </w:pPr>
          </w:p>
        </w:tc>
        <w:tc>
          <w:tcPr>
            <w:tcW w:w="0" w:type="auto"/>
            <w:tcBorders>
              <w:top w:val="nil"/>
              <w:left w:val="nil"/>
              <w:right w:val="nil"/>
            </w:tcBorders>
            <w:noWrap/>
            <w:vAlign w:val="center"/>
            <w:hideMark/>
          </w:tcPr>
          <w:p w14:paraId="38F32D8F" w14:textId="77777777" w:rsidR="00760976" w:rsidRPr="002150BE" w:rsidRDefault="00760976" w:rsidP="00760976">
            <w:pPr>
              <w:spacing w:after="0" w:line="240" w:lineRule="auto"/>
              <w:rPr>
                <w:rFonts w:asciiTheme="minorHAnsi" w:eastAsia="Times New Roman" w:hAnsiTheme="minorHAnsi" w:cstheme="minorHAnsi"/>
                <w:sz w:val="18"/>
                <w:szCs w:val="18"/>
                <w:lang w:eastAsia="es-MX"/>
              </w:rPr>
            </w:pPr>
          </w:p>
        </w:tc>
        <w:tc>
          <w:tcPr>
            <w:tcW w:w="0" w:type="auto"/>
            <w:gridSpan w:val="2"/>
            <w:tcBorders>
              <w:top w:val="nil"/>
              <w:left w:val="nil"/>
              <w:right w:val="nil"/>
            </w:tcBorders>
            <w:noWrap/>
            <w:vAlign w:val="center"/>
            <w:hideMark/>
          </w:tcPr>
          <w:p w14:paraId="6427886F" w14:textId="77777777" w:rsidR="00760976" w:rsidRPr="002150BE" w:rsidRDefault="008F5F25" w:rsidP="00760976">
            <w:pPr>
              <w:spacing w:after="0" w:line="240" w:lineRule="auto"/>
              <w:rPr>
                <w:rFonts w:asciiTheme="minorHAnsi" w:eastAsia="Times New Roman" w:hAnsiTheme="minorHAnsi" w:cstheme="minorHAnsi"/>
                <w:sz w:val="18"/>
                <w:szCs w:val="18"/>
                <w:lang w:eastAsia="es-MX"/>
              </w:rPr>
            </w:pPr>
            <w:r w:rsidRPr="002150BE">
              <w:rPr>
                <w:rFonts w:asciiTheme="minorHAnsi" w:eastAsia="Times New Roman" w:hAnsiTheme="minorHAnsi" w:cstheme="minorHAnsi"/>
                <w:noProof/>
                <w:color w:val="000000"/>
                <w:sz w:val="18"/>
                <w:szCs w:val="18"/>
                <w:lang w:eastAsia="es-MX"/>
              </w:rPr>
              <w:drawing>
                <wp:anchor distT="0" distB="0" distL="114300" distR="114300" simplePos="0" relativeHeight="251698688" behindDoc="0" locked="0" layoutInCell="1" allowOverlap="1" wp14:anchorId="6FA952B1" wp14:editId="4DD6462A">
                  <wp:simplePos x="0" y="0"/>
                  <wp:positionH relativeFrom="column">
                    <wp:posOffset>-4915535</wp:posOffset>
                  </wp:positionH>
                  <wp:positionV relativeFrom="paragraph">
                    <wp:posOffset>-1270</wp:posOffset>
                  </wp:positionV>
                  <wp:extent cx="5610225" cy="371475"/>
                  <wp:effectExtent l="0" t="0" r="9525" b="9525"/>
                  <wp:wrapNone/>
                  <wp:docPr id="504" name="Imagen 504"/>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rotWithShape="1">
                          <a:blip r:embed="rId27"/>
                          <a:srcRect l="5869" t="57905" r="7110" b="33272"/>
                          <a:stretch/>
                        </pic:blipFill>
                        <pic:spPr>
                          <a:xfrm>
                            <a:off x="0" y="0"/>
                            <a:ext cx="5610225" cy="371475"/>
                          </a:xfrm>
                          <a:prstGeom prst="rect">
                            <a:avLst/>
                          </a:prstGeom>
                        </pic:spPr>
                      </pic:pic>
                    </a:graphicData>
                  </a:graphic>
                  <wp14:sizeRelH relativeFrom="page">
                    <wp14:pctWidth>0</wp14:pctWidth>
                  </wp14:sizeRelH>
                  <wp14:sizeRelV relativeFrom="page">
                    <wp14:pctHeight>0</wp14:pctHeight>
                  </wp14:sizeRelV>
                </wp:anchor>
              </w:drawing>
            </w:r>
          </w:p>
        </w:tc>
        <w:tc>
          <w:tcPr>
            <w:tcW w:w="0" w:type="auto"/>
            <w:tcBorders>
              <w:top w:val="nil"/>
              <w:left w:val="nil"/>
              <w:right w:val="nil"/>
            </w:tcBorders>
            <w:noWrap/>
            <w:vAlign w:val="center"/>
            <w:hideMark/>
          </w:tcPr>
          <w:p w14:paraId="5BAA0116" w14:textId="77777777" w:rsidR="00760976" w:rsidRPr="002150BE" w:rsidRDefault="00760976" w:rsidP="00760976">
            <w:pPr>
              <w:spacing w:after="0" w:line="240" w:lineRule="auto"/>
              <w:rPr>
                <w:rFonts w:asciiTheme="minorHAnsi" w:eastAsia="Times New Roman" w:hAnsiTheme="minorHAnsi" w:cstheme="minorHAnsi"/>
                <w:sz w:val="18"/>
                <w:szCs w:val="18"/>
                <w:lang w:eastAsia="es-MX"/>
              </w:rPr>
            </w:pPr>
          </w:p>
        </w:tc>
        <w:tc>
          <w:tcPr>
            <w:tcW w:w="0" w:type="auto"/>
            <w:gridSpan w:val="3"/>
            <w:tcBorders>
              <w:top w:val="nil"/>
              <w:left w:val="nil"/>
              <w:right w:val="nil"/>
            </w:tcBorders>
            <w:noWrap/>
            <w:vAlign w:val="center"/>
            <w:hideMark/>
          </w:tcPr>
          <w:p w14:paraId="23F87F03" w14:textId="77777777" w:rsidR="00760976" w:rsidRPr="002150BE" w:rsidRDefault="00760976" w:rsidP="00760976">
            <w:pPr>
              <w:spacing w:after="0" w:line="240" w:lineRule="auto"/>
              <w:rPr>
                <w:rFonts w:asciiTheme="minorHAnsi" w:eastAsia="Times New Roman" w:hAnsiTheme="minorHAnsi" w:cstheme="minorHAnsi"/>
                <w:sz w:val="18"/>
                <w:szCs w:val="18"/>
                <w:lang w:eastAsia="es-MX"/>
              </w:rPr>
            </w:pPr>
          </w:p>
        </w:tc>
        <w:tc>
          <w:tcPr>
            <w:tcW w:w="0" w:type="auto"/>
            <w:tcBorders>
              <w:top w:val="nil"/>
              <w:left w:val="nil"/>
              <w:right w:val="single" w:sz="4" w:space="0" w:color="BFBFBF" w:themeColor="background1" w:themeShade="BF"/>
            </w:tcBorders>
            <w:noWrap/>
            <w:vAlign w:val="center"/>
            <w:hideMark/>
          </w:tcPr>
          <w:p w14:paraId="0F2D5DA6" w14:textId="77777777" w:rsidR="00760976" w:rsidRPr="002150BE" w:rsidRDefault="00760976" w:rsidP="00760976">
            <w:pPr>
              <w:spacing w:after="0" w:line="240" w:lineRule="auto"/>
              <w:rPr>
                <w:rFonts w:asciiTheme="minorHAnsi" w:eastAsia="Times New Roman" w:hAnsiTheme="minorHAnsi" w:cstheme="minorHAnsi"/>
                <w:color w:val="000000"/>
                <w:sz w:val="18"/>
                <w:szCs w:val="18"/>
                <w:lang w:eastAsia="es-MX"/>
              </w:rPr>
            </w:pPr>
            <w:r w:rsidRPr="002150BE">
              <w:rPr>
                <w:rFonts w:asciiTheme="minorHAnsi" w:eastAsia="Times New Roman" w:hAnsiTheme="minorHAnsi" w:cstheme="minorHAnsi"/>
                <w:color w:val="000000"/>
                <w:sz w:val="18"/>
                <w:szCs w:val="18"/>
                <w:lang w:eastAsia="es-MX"/>
              </w:rPr>
              <w:t> </w:t>
            </w:r>
          </w:p>
        </w:tc>
      </w:tr>
      <w:tr w:rsidR="00095F09" w:rsidRPr="002150BE" w14:paraId="3DC87919" w14:textId="77777777" w:rsidTr="000A4BBB">
        <w:trPr>
          <w:trHeight w:val="567"/>
        </w:trPr>
        <w:tc>
          <w:tcPr>
            <w:tcW w:w="445" w:type="dxa"/>
            <w:tcBorders>
              <w:top w:val="nil"/>
              <w:left w:val="single" w:sz="4" w:space="0" w:color="BFBFBF" w:themeColor="background1" w:themeShade="BF"/>
              <w:bottom w:val="single" w:sz="4" w:space="0" w:color="7F7F7F" w:themeColor="text1" w:themeTint="80"/>
              <w:right w:val="single" w:sz="4" w:space="0" w:color="BFBFBF" w:themeColor="background1" w:themeShade="BF"/>
            </w:tcBorders>
            <w:noWrap/>
            <w:vAlign w:val="center"/>
            <w:hideMark/>
          </w:tcPr>
          <w:p w14:paraId="5999376B" w14:textId="77777777" w:rsidR="00760976" w:rsidRPr="002150BE" w:rsidRDefault="00760976" w:rsidP="00760976">
            <w:pPr>
              <w:spacing w:after="0" w:line="240" w:lineRule="auto"/>
              <w:rPr>
                <w:rFonts w:asciiTheme="minorHAnsi" w:eastAsia="Times New Roman" w:hAnsiTheme="minorHAnsi" w:cstheme="minorHAnsi"/>
                <w:color w:val="000000"/>
                <w:sz w:val="18"/>
                <w:szCs w:val="18"/>
                <w:lang w:eastAsia="es-MX"/>
              </w:rPr>
            </w:pPr>
            <w:r w:rsidRPr="002150BE">
              <w:rPr>
                <w:rFonts w:asciiTheme="minorHAnsi" w:eastAsia="Times New Roman" w:hAnsiTheme="minorHAnsi" w:cstheme="minorHAnsi"/>
                <w:color w:val="000000"/>
                <w:sz w:val="18"/>
                <w:szCs w:val="18"/>
                <w:lang w:eastAsia="es-MX"/>
              </w:rPr>
              <w:t> </w:t>
            </w:r>
          </w:p>
        </w:tc>
        <w:tc>
          <w:tcPr>
            <w:tcW w:w="42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EFE9C6" w14:textId="77777777" w:rsidR="00760976" w:rsidRPr="002150BE" w:rsidRDefault="00760976" w:rsidP="00760976">
            <w:pPr>
              <w:spacing w:after="0" w:line="240" w:lineRule="auto"/>
              <w:rPr>
                <w:rFonts w:asciiTheme="minorHAnsi" w:eastAsia="Times New Roman" w:hAnsiTheme="minorHAnsi" w:cstheme="minorHAnsi"/>
                <w:color w:val="000000"/>
                <w:sz w:val="18"/>
                <w:szCs w:val="18"/>
                <w:lang w:eastAsia="es-MX"/>
              </w:rPr>
            </w:pPr>
          </w:p>
        </w:tc>
        <w:tc>
          <w:tcPr>
            <w:tcW w:w="43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E82BF8" w14:textId="77777777" w:rsidR="00760976" w:rsidRPr="002150BE" w:rsidRDefault="00760976" w:rsidP="00760976">
            <w:pPr>
              <w:spacing w:after="0" w:line="240" w:lineRule="auto"/>
              <w:rPr>
                <w:rFonts w:asciiTheme="minorHAnsi" w:eastAsia="Times New Roman" w:hAnsiTheme="minorHAnsi" w:cstheme="minorHAnsi"/>
                <w:color w:val="000000"/>
                <w:sz w:val="18"/>
                <w:szCs w:val="18"/>
                <w:lang w:eastAsia="es-MX"/>
              </w:rPr>
            </w:pPr>
          </w:p>
        </w:tc>
        <w:tc>
          <w:tcPr>
            <w:tcW w:w="63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EB972B" w14:textId="3A20E453" w:rsidR="00760976" w:rsidRPr="002150BE" w:rsidRDefault="00095F09" w:rsidP="00095F09">
            <w:pPr>
              <w:spacing w:after="0" w:line="240" w:lineRule="auto"/>
              <w:rPr>
                <w:rFonts w:asciiTheme="minorHAnsi" w:eastAsia="Times New Roman" w:hAnsiTheme="minorHAnsi" w:cstheme="minorHAnsi"/>
                <w:b/>
                <w:bCs/>
                <w:color w:val="000000"/>
                <w:sz w:val="18"/>
                <w:szCs w:val="18"/>
                <w:lang w:eastAsia="es-MX"/>
              </w:rPr>
            </w:pPr>
            <w:r w:rsidRPr="002150BE">
              <w:rPr>
                <w:rFonts w:asciiTheme="minorHAnsi" w:eastAsia="Times New Roman" w:hAnsiTheme="minorHAnsi" w:cstheme="minorHAnsi"/>
                <w:b/>
                <w:bCs/>
                <w:color w:val="000000"/>
                <w:sz w:val="18"/>
                <w:szCs w:val="18"/>
                <w:lang w:eastAsia="es-MX"/>
              </w:rPr>
              <w:t xml:space="preserve">   </w:t>
            </w:r>
            <w:r w:rsidR="002E7D59" w:rsidRPr="002150BE">
              <w:rPr>
                <w:rFonts w:asciiTheme="minorHAnsi" w:eastAsia="Times New Roman" w:hAnsiTheme="minorHAnsi" w:cstheme="minorHAnsi"/>
                <w:b/>
                <w:bCs/>
                <w:color w:val="000000"/>
                <w:sz w:val="18"/>
                <w:szCs w:val="18"/>
                <w:lang w:eastAsia="es-MX"/>
              </w:rPr>
              <w:t>X</w:t>
            </w:r>
          </w:p>
        </w:tc>
        <w:tc>
          <w:tcPr>
            <w:tcW w:w="29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1330CE" w14:textId="77777777" w:rsidR="00760976" w:rsidRPr="002150BE" w:rsidRDefault="00760976" w:rsidP="007B6CFB">
            <w:pPr>
              <w:spacing w:after="0" w:line="240" w:lineRule="auto"/>
              <w:jc w:val="center"/>
              <w:rPr>
                <w:rFonts w:asciiTheme="minorHAnsi" w:eastAsia="Times New Roman" w:hAnsiTheme="minorHAnsi" w:cstheme="minorHAnsi"/>
                <w:color w:val="000000"/>
                <w:sz w:val="18"/>
                <w:szCs w:val="18"/>
                <w:lang w:eastAsia="es-MX"/>
              </w:rPr>
            </w:pPr>
          </w:p>
        </w:tc>
        <w:tc>
          <w:tcPr>
            <w:tcW w:w="77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43FCB2" w14:textId="77777777" w:rsidR="00760976" w:rsidRPr="002150BE" w:rsidRDefault="00760976" w:rsidP="007B6CFB">
            <w:pPr>
              <w:spacing w:after="0" w:line="240" w:lineRule="auto"/>
              <w:jc w:val="center"/>
              <w:rPr>
                <w:rFonts w:asciiTheme="minorHAnsi" w:eastAsia="Times New Roman" w:hAnsiTheme="minorHAnsi" w:cstheme="minorHAnsi"/>
                <w:color w:val="000000"/>
                <w:sz w:val="18"/>
                <w:szCs w:val="18"/>
                <w:lang w:eastAsia="es-MX"/>
              </w:rPr>
            </w:pPr>
          </w:p>
        </w:tc>
        <w:tc>
          <w:tcPr>
            <w:tcW w:w="49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41F26F" w14:textId="77777777" w:rsidR="00760976" w:rsidRPr="002150BE" w:rsidRDefault="00760976" w:rsidP="007B6CFB">
            <w:pPr>
              <w:spacing w:after="0" w:line="240" w:lineRule="auto"/>
              <w:jc w:val="center"/>
              <w:rPr>
                <w:rFonts w:asciiTheme="minorHAnsi" w:eastAsia="Times New Roman" w:hAnsiTheme="minorHAnsi" w:cstheme="minorHAnsi"/>
                <w:color w:val="000000"/>
                <w:sz w:val="18"/>
                <w:szCs w:val="18"/>
                <w:lang w:eastAsia="es-MX"/>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FE67E3" w14:textId="77777777" w:rsidR="00760976" w:rsidRPr="002150BE" w:rsidRDefault="007B6CFB" w:rsidP="007B6CFB">
            <w:pPr>
              <w:spacing w:after="0" w:line="240" w:lineRule="auto"/>
              <w:jc w:val="center"/>
              <w:rPr>
                <w:rFonts w:asciiTheme="minorHAnsi" w:eastAsia="Times New Roman" w:hAnsiTheme="minorHAnsi" w:cstheme="minorHAnsi"/>
                <w:color w:val="000000"/>
                <w:sz w:val="18"/>
                <w:szCs w:val="18"/>
                <w:lang w:eastAsia="es-MX"/>
              </w:rPr>
            </w:pPr>
            <w:r w:rsidRPr="002150BE">
              <w:rPr>
                <w:rFonts w:asciiTheme="minorHAnsi" w:eastAsia="Times New Roman" w:hAnsiTheme="minorHAnsi" w:cstheme="minorHAnsi"/>
                <w:b/>
                <w:bCs/>
                <w:color w:val="000000"/>
                <w:sz w:val="18"/>
                <w:szCs w:val="18"/>
                <w:lang w:eastAsia="es-MX"/>
              </w:rPr>
              <w:t>X</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E447F4" w14:textId="77777777" w:rsidR="00760976" w:rsidRPr="002150BE" w:rsidRDefault="00760976" w:rsidP="007B6CFB">
            <w:pPr>
              <w:spacing w:after="0" w:line="240" w:lineRule="auto"/>
              <w:jc w:val="center"/>
              <w:rPr>
                <w:rFonts w:asciiTheme="minorHAnsi" w:eastAsia="Times New Roman" w:hAnsiTheme="minorHAnsi" w:cstheme="minorHAnsi"/>
                <w:color w:val="000000"/>
                <w:sz w:val="18"/>
                <w:szCs w:val="18"/>
                <w:lang w:eastAsia="es-MX"/>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A94956" w14:textId="77777777" w:rsidR="00760976" w:rsidRPr="002150BE" w:rsidRDefault="00760976" w:rsidP="00760976">
            <w:pPr>
              <w:spacing w:after="0" w:line="240" w:lineRule="auto"/>
              <w:rPr>
                <w:rFonts w:asciiTheme="minorHAnsi" w:eastAsia="Times New Roman" w:hAnsiTheme="minorHAnsi" w:cstheme="minorHAnsi"/>
                <w:color w:val="000000"/>
                <w:sz w:val="18"/>
                <w:szCs w:val="18"/>
                <w:lang w:eastAsia="es-MX"/>
              </w:rPr>
            </w:pPr>
          </w:p>
        </w:tc>
        <w:tc>
          <w:tcPr>
            <w:tcW w:w="0" w:type="auto"/>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6F3F16" w14:textId="77777777" w:rsidR="00760976" w:rsidRPr="002150BE" w:rsidRDefault="00760976" w:rsidP="00760976">
            <w:pPr>
              <w:spacing w:after="0" w:line="240" w:lineRule="auto"/>
              <w:rPr>
                <w:rFonts w:asciiTheme="minorHAnsi" w:eastAsia="Times New Roman" w:hAnsiTheme="minorHAnsi" w:cstheme="minorHAnsi"/>
                <w:color w:val="000000"/>
                <w:sz w:val="18"/>
                <w:szCs w:val="18"/>
                <w:lang w:eastAsia="es-MX"/>
              </w:rPr>
            </w:pPr>
          </w:p>
        </w:tc>
        <w:tc>
          <w:tcPr>
            <w:tcW w:w="1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0D3F679" w14:textId="77777777" w:rsidR="00760976" w:rsidRPr="002150BE" w:rsidRDefault="00760976" w:rsidP="00760976">
            <w:pPr>
              <w:spacing w:after="0" w:line="240" w:lineRule="auto"/>
              <w:rPr>
                <w:rFonts w:asciiTheme="minorHAnsi" w:eastAsia="Times New Roman" w:hAnsiTheme="minorHAnsi" w:cstheme="minorHAnsi"/>
                <w:color w:val="000000"/>
                <w:sz w:val="18"/>
                <w:szCs w:val="18"/>
                <w:lang w:eastAsia="es-MX"/>
              </w:rPr>
            </w:pPr>
          </w:p>
        </w:tc>
        <w:tc>
          <w:tcPr>
            <w:tcW w:w="32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EA364BD" w14:textId="77777777" w:rsidR="00760976" w:rsidRPr="002150BE" w:rsidRDefault="00760976" w:rsidP="00760976">
            <w:pPr>
              <w:spacing w:after="0" w:line="240" w:lineRule="auto"/>
              <w:rPr>
                <w:rFonts w:asciiTheme="minorHAnsi" w:eastAsia="Times New Roman" w:hAnsiTheme="minorHAnsi" w:cstheme="minorHAnsi"/>
                <w:color w:val="000000"/>
                <w:sz w:val="18"/>
                <w:szCs w:val="18"/>
                <w:lang w:eastAsia="es-MX"/>
              </w:rPr>
            </w:pPr>
          </w:p>
        </w:tc>
        <w:tc>
          <w:tcPr>
            <w:tcW w:w="0" w:type="auto"/>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5C65E5" w14:textId="77777777" w:rsidR="00760976" w:rsidRPr="002150BE" w:rsidRDefault="00760976" w:rsidP="00760976">
            <w:pPr>
              <w:spacing w:after="0" w:line="240" w:lineRule="auto"/>
              <w:rPr>
                <w:rFonts w:asciiTheme="minorHAnsi" w:eastAsia="Times New Roman" w:hAnsiTheme="minorHAnsi" w:cstheme="minorHAnsi"/>
                <w:color w:val="000000"/>
                <w:sz w:val="18"/>
                <w:szCs w:val="18"/>
                <w:lang w:eastAsia="es-MX"/>
              </w:rPr>
            </w:pPr>
          </w:p>
        </w:tc>
        <w:tc>
          <w:tcPr>
            <w:tcW w:w="0" w:type="auto"/>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BE0E15" w14:textId="77777777" w:rsidR="00760976" w:rsidRPr="002150BE" w:rsidRDefault="00760976" w:rsidP="00760976">
            <w:pPr>
              <w:spacing w:after="0" w:line="240" w:lineRule="auto"/>
              <w:rPr>
                <w:rFonts w:asciiTheme="minorHAnsi" w:eastAsia="Times New Roman" w:hAnsiTheme="minorHAnsi" w:cstheme="minorHAnsi"/>
                <w:color w:val="000000"/>
                <w:sz w:val="18"/>
                <w:szCs w:val="18"/>
                <w:lang w:eastAsia="es-MX"/>
              </w:rPr>
            </w:pPr>
          </w:p>
        </w:tc>
        <w:tc>
          <w:tcPr>
            <w:tcW w:w="0" w:type="auto"/>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2F1A44" w14:textId="77777777" w:rsidR="00760976" w:rsidRPr="002150BE" w:rsidRDefault="00760976" w:rsidP="00760976">
            <w:pPr>
              <w:spacing w:after="0" w:line="240" w:lineRule="auto"/>
              <w:rPr>
                <w:rFonts w:asciiTheme="minorHAnsi" w:eastAsia="Times New Roman" w:hAnsiTheme="minorHAnsi" w:cstheme="minorHAnsi"/>
                <w:color w:val="000000"/>
                <w:sz w:val="18"/>
                <w:szCs w:val="18"/>
                <w:lang w:eastAsia="es-MX"/>
              </w:rPr>
            </w:pPr>
          </w:p>
        </w:tc>
        <w:tc>
          <w:tcPr>
            <w:tcW w:w="0" w:type="auto"/>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40F65FD" w14:textId="77777777" w:rsidR="00760976" w:rsidRPr="002150BE" w:rsidRDefault="00760976" w:rsidP="00760976">
            <w:pPr>
              <w:spacing w:after="0" w:line="240" w:lineRule="auto"/>
              <w:rPr>
                <w:rFonts w:asciiTheme="minorHAnsi" w:eastAsia="Times New Roman" w:hAnsiTheme="minorHAnsi" w:cstheme="minorHAnsi"/>
                <w:color w:val="000000"/>
                <w:sz w:val="18"/>
                <w:szCs w:val="18"/>
                <w:lang w:eastAsia="es-MX"/>
              </w:rPr>
            </w:pPr>
          </w:p>
        </w:tc>
      </w:tr>
      <w:tr w:rsidR="00760976" w:rsidRPr="002150BE" w14:paraId="3A3A799C" w14:textId="77777777" w:rsidTr="000A4BBB">
        <w:trPr>
          <w:trHeight w:val="434"/>
        </w:trPr>
        <w:tc>
          <w:tcPr>
            <w:tcW w:w="0" w:type="auto"/>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noWrap/>
            <w:vAlign w:val="center"/>
            <w:hideMark/>
          </w:tcPr>
          <w:p w14:paraId="4EDA8AEC" w14:textId="77777777" w:rsidR="00760976" w:rsidRPr="002150BE" w:rsidRDefault="00760976" w:rsidP="00760976">
            <w:pPr>
              <w:spacing w:after="0" w:line="240" w:lineRule="auto"/>
              <w:jc w:val="center"/>
              <w:rPr>
                <w:rFonts w:asciiTheme="minorHAnsi" w:eastAsia="Times New Roman" w:hAnsiTheme="minorHAnsi" w:cstheme="minorHAnsi"/>
                <w:b/>
                <w:bCs/>
                <w:sz w:val="18"/>
                <w:szCs w:val="18"/>
                <w:lang w:eastAsia="es-MX"/>
              </w:rPr>
            </w:pPr>
            <w:r w:rsidRPr="002150BE">
              <w:rPr>
                <w:rFonts w:asciiTheme="minorHAnsi" w:eastAsia="Times New Roman" w:hAnsiTheme="minorHAnsi" w:cstheme="minorHAnsi"/>
                <w:b/>
                <w:bCs/>
                <w:sz w:val="18"/>
                <w:szCs w:val="18"/>
                <w:lang w:eastAsia="es-MX"/>
              </w:rPr>
              <w:t>ODS</w:t>
            </w:r>
          </w:p>
        </w:tc>
        <w:tc>
          <w:tcPr>
            <w:tcW w:w="0" w:type="auto"/>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noWrap/>
            <w:vAlign w:val="center"/>
            <w:hideMark/>
          </w:tcPr>
          <w:p w14:paraId="31106D95" w14:textId="77777777" w:rsidR="00760976" w:rsidRPr="002150BE" w:rsidRDefault="00760976" w:rsidP="00760976">
            <w:pPr>
              <w:spacing w:after="0" w:line="240" w:lineRule="auto"/>
              <w:jc w:val="center"/>
              <w:rPr>
                <w:rFonts w:asciiTheme="minorHAnsi" w:eastAsia="Times New Roman" w:hAnsiTheme="minorHAnsi" w:cstheme="minorHAnsi"/>
                <w:b/>
                <w:bCs/>
                <w:sz w:val="18"/>
                <w:szCs w:val="18"/>
                <w:lang w:eastAsia="es-MX"/>
              </w:rPr>
            </w:pPr>
            <w:r w:rsidRPr="002150BE">
              <w:rPr>
                <w:rFonts w:asciiTheme="minorHAnsi" w:eastAsia="Times New Roman" w:hAnsiTheme="minorHAnsi" w:cstheme="minorHAnsi"/>
                <w:b/>
                <w:bCs/>
                <w:sz w:val="18"/>
                <w:szCs w:val="18"/>
                <w:lang w:eastAsia="es-MX"/>
              </w:rPr>
              <w:t>Meta</w:t>
            </w:r>
          </w:p>
        </w:tc>
        <w:tc>
          <w:tcPr>
            <w:tcW w:w="3355"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5E48AB8B" w14:textId="77777777" w:rsidR="00760976" w:rsidRPr="002150BE" w:rsidRDefault="00760976" w:rsidP="00760976">
            <w:pPr>
              <w:spacing w:after="0" w:line="240" w:lineRule="auto"/>
              <w:jc w:val="center"/>
              <w:rPr>
                <w:rFonts w:asciiTheme="minorHAnsi" w:eastAsia="Times New Roman" w:hAnsiTheme="minorHAnsi" w:cstheme="minorHAnsi"/>
                <w:b/>
                <w:bCs/>
                <w:sz w:val="18"/>
                <w:szCs w:val="18"/>
                <w:lang w:eastAsia="es-MX"/>
              </w:rPr>
            </w:pPr>
            <w:r w:rsidRPr="002150BE">
              <w:rPr>
                <w:rFonts w:asciiTheme="minorHAnsi" w:eastAsia="Times New Roman" w:hAnsiTheme="minorHAnsi" w:cstheme="minorHAnsi"/>
                <w:b/>
                <w:bCs/>
                <w:sz w:val="18"/>
                <w:szCs w:val="18"/>
                <w:lang w:eastAsia="es-MX"/>
              </w:rPr>
              <w:t>Vinculación</w:t>
            </w:r>
          </w:p>
        </w:tc>
        <w:tc>
          <w:tcPr>
            <w:tcW w:w="2312"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24E9D91A" w14:textId="77777777" w:rsidR="00760976" w:rsidRPr="002150BE" w:rsidRDefault="00760976" w:rsidP="00760976">
            <w:pPr>
              <w:spacing w:after="0" w:line="240" w:lineRule="auto"/>
              <w:jc w:val="center"/>
              <w:rPr>
                <w:rFonts w:asciiTheme="minorHAnsi" w:eastAsia="Times New Roman" w:hAnsiTheme="minorHAnsi" w:cstheme="minorHAnsi"/>
                <w:b/>
                <w:bCs/>
                <w:sz w:val="18"/>
                <w:szCs w:val="18"/>
                <w:lang w:eastAsia="es-MX"/>
              </w:rPr>
            </w:pPr>
            <w:r w:rsidRPr="002150BE">
              <w:rPr>
                <w:rFonts w:asciiTheme="minorHAnsi" w:eastAsia="Times New Roman" w:hAnsiTheme="minorHAnsi" w:cstheme="minorHAnsi"/>
                <w:b/>
                <w:bCs/>
                <w:sz w:val="18"/>
                <w:szCs w:val="18"/>
                <w:lang w:eastAsia="es-MX"/>
              </w:rPr>
              <w:t>Valoración de la vinculación (instancia evaluadora)</w:t>
            </w:r>
          </w:p>
        </w:tc>
      </w:tr>
      <w:tr w:rsidR="00760976" w:rsidRPr="002150BE" w14:paraId="5D2C4EC9" w14:textId="77777777" w:rsidTr="000A4BBB">
        <w:trPr>
          <w:trHeight w:val="434"/>
        </w:trPr>
        <w:tc>
          <w:tcPr>
            <w:tcW w:w="0" w:type="auto"/>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7058343B" w14:textId="77777777" w:rsidR="00760976" w:rsidRPr="002150BE" w:rsidRDefault="00760976" w:rsidP="00760976">
            <w:pPr>
              <w:spacing w:after="0" w:line="240" w:lineRule="auto"/>
              <w:jc w:val="center"/>
              <w:rPr>
                <w:rFonts w:asciiTheme="minorHAnsi" w:eastAsia="Times New Roman" w:hAnsiTheme="minorHAnsi" w:cstheme="minorHAnsi"/>
                <w:sz w:val="16"/>
                <w:szCs w:val="16"/>
                <w:lang w:eastAsia="es-MX"/>
              </w:rPr>
            </w:pPr>
            <w:r w:rsidRPr="002150BE">
              <w:rPr>
                <w:rFonts w:asciiTheme="minorHAnsi" w:eastAsia="Times New Roman" w:hAnsiTheme="minorHAnsi" w:cstheme="minorHAnsi"/>
                <w:sz w:val="16"/>
                <w:szCs w:val="16"/>
                <w:lang w:eastAsia="es-MX"/>
              </w:rPr>
              <w:t> </w:t>
            </w:r>
            <w:r w:rsidR="007B6CFB" w:rsidRPr="002150BE">
              <w:rPr>
                <w:rFonts w:asciiTheme="minorHAnsi" w:eastAsia="Times New Roman" w:hAnsiTheme="minorHAnsi" w:cstheme="minorHAnsi"/>
                <w:sz w:val="16"/>
                <w:szCs w:val="16"/>
                <w:lang w:eastAsia="es-MX"/>
              </w:rPr>
              <w:t>ODS 4. Garantizar una educación inclusiva, equitativa y de calidad y promover oportunidades de aprendizaje durante toda la vida para todos.</w:t>
            </w:r>
          </w:p>
        </w:tc>
        <w:tc>
          <w:tcPr>
            <w:tcW w:w="0" w:type="auto"/>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02D89E1E" w14:textId="77777777" w:rsidR="00760976" w:rsidRPr="002150BE" w:rsidRDefault="00760976" w:rsidP="00760976">
            <w:pPr>
              <w:spacing w:after="0" w:line="240" w:lineRule="auto"/>
              <w:jc w:val="center"/>
              <w:rPr>
                <w:rFonts w:asciiTheme="minorHAnsi" w:eastAsia="Times New Roman" w:hAnsiTheme="minorHAnsi" w:cstheme="minorHAnsi"/>
                <w:sz w:val="16"/>
                <w:szCs w:val="16"/>
                <w:lang w:eastAsia="es-MX"/>
              </w:rPr>
            </w:pPr>
            <w:r w:rsidRPr="002150BE">
              <w:rPr>
                <w:rFonts w:asciiTheme="minorHAnsi" w:eastAsia="Times New Roman" w:hAnsiTheme="minorHAnsi" w:cstheme="minorHAnsi"/>
                <w:sz w:val="16"/>
                <w:szCs w:val="16"/>
                <w:lang w:eastAsia="es-MX"/>
              </w:rPr>
              <w:t> </w:t>
            </w:r>
            <w:r w:rsidR="007B6CFB" w:rsidRPr="002150BE">
              <w:rPr>
                <w:rFonts w:asciiTheme="minorHAnsi" w:eastAsia="Times New Roman" w:hAnsiTheme="minorHAnsi" w:cstheme="minorHAnsi"/>
                <w:sz w:val="16"/>
                <w:szCs w:val="16"/>
                <w:lang w:eastAsia="es-MX"/>
              </w:rPr>
              <w:t>4.3, 4.4, 4.5, 4.7, 4.c</w:t>
            </w:r>
          </w:p>
        </w:tc>
        <w:tc>
          <w:tcPr>
            <w:tcW w:w="3355"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4B36A0EA" w14:textId="77777777" w:rsidR="00760976" w:rsidRPr="002150BE" w:rsidRDefault="008F5F25" w:rsidP="007B6CFB">
            <w:pPr>
              <w:spacing w:after="0" w:line="240" w:lineRule="auto"/>
              <w:jc w:val="center"/>
              <w:rPr>
                <w:rFonts w:asciiTheme="minorHAnsi" w:eastAsia="Times New Roman" w:hAnsiTheme="minorHAnsi" w:cstheme="minorHAnsi"/>
                <w:sz w:val="16"/>
                <w:szCs w:val="16"/>
                <w:lang w:eastAsia="es-MX"/>
              </w:rPr>
            </w:pPr>
            <w:r w:rsidRPr="002150BE">
              <w:rPr>
                <w:rFonts w:asciiTheme="minorHAnsi" w:eastAsia="Times New Roman" w:hAnsiTheme="minorHAnsi" w:cstheme="minorHAnsi"/>
                <w:sz w:val="16"/>
                <w:szCs w:val="16"/>
                <w:lang w:eastAsia="es-MX"/>
              </w:rPr>
              <w:t xml:space="preserve">Directa. </w:t>
            </w:r>
            <w:r w:rsidR="007B6CFB" w:rsidRPr="002150BE">
              <w:rPr>
                <w:rFonts w:asciiTheme="minorHAnsi" w:eastAsia="Times New Roman" w:hAnsiTheme="minorHAnsi" w:cstheme="minorHAnsi"/>
                <w:sz w:val="16"/>
                <w:szCs w:val="16"/>
                <w:lang w:eastAsia="es-MX"/>
              </w:rPr>
              <w:t>El Pp busca ampliar el acceso de egresados de EMS a programas de TSU, Ingeniería y posgrado de calidad, lo que contribuye a: (4.3) acceso en condiciones de igualdad a la educación superior; (4.4) desarrollo de competencias técnicas y profesionales mediante el modelo por competencias, laboratorios, estadías y componente BIS; (4.5) reducción de disparidades de género y atención a población vulnerable mediante becas internas, tutorías y apoyos a la permanencia; (4.7) incorporación de contenidos de sustentabilidad, cultura de paz y ciudadanía en el currículo y en el modelo BIS; y (4.c) fortalecimiento de la planta docente a través de procesos de actualización y desarrollo profesional.</w:t>
            </w:r>
          </w:p>
        </w:tc>
        <w:tc>
          <w:tcPr>
            <w:tcW w:w="2312"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9C81DCF" w14:textId="77777777" w:rsidR="00760976" w:rsidRPr="002150BE" w:rsidRDefault="007B6CFB" w:rsidP="007B6CFB">
            <w:pPr>
              <w:spacing w:after="0" w:line="240" w:lineRule="auto"/>
              <w:jc w:val="center"/>
              <w:rPr>
                <w:rFonts w:asciiTheme="minorHAnsi" w:eastAsia="Times New Roman" w:hAnsiTheme="minorHAnsi" w:cstheme="minorHAnsi"/>
                <w:sz w:val="16"/>
                <w:szCs w:val="16"/>
                <w:lang w:eastAsia="es-MX"/>
              </w:rPr>
            </w:pPr>
            <w:r w:rsidRPr="002150BE">
              <w:rPr>
                <w:rFonts w:asciiTheme="minorHAnsi" w:eastAsia="Times New Roman" w:hAnsiTheme="minorHAnsi" w:cstheme="minorHAnsi"/>
                <w:sz w:val="16"/>
                <w:szCs w:val="16"/>
                <w:lang w:eastAsia="es-MX"/>
              </w:rPr>
              <w:t>La lógica de intervención del Pp se alinea de manera consistente con el ODS 4 y sus metas, y existe evidencia en la MIR, en el PIDE-UTC y en los informes de actividades sustantivas de que la operación cotidiana del Pp contribuye efectivamente a estos resultados. Se identifican márgenes de mejora en la medición desagregada por sexo y grupos prioritarios.</w:t>
            </w:r>
          </w:p>
        </w:tc>
      </w:tr>
      <w:tr w:rsidR="007B6CFB" w:rsidRPr="002150BE" w14:paraId="2E106AAA" w14:textId="77777777" w:rsidTr="000A4BBB">
        <w:trPr>
          <w:trHeight w:val="434"/>
        </w:trPr>
        <w:tc>
          <w:tcPr>
            <w:tcW w:w="0" w:type="auto"/>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07D764E4" w14:textId="77777777" w:rsidR="007B6CFB" w:rsidRPr="002150BE" w:rsidRDefault="007B6CFB" w:rsidP="00760976">
            <w:pPr>
              <w:spacing w:after="0" w:line="240" w:lineRule="auto"/>
              <w:jc w:val="center"/>
              <w:rPr>
                <w:rFonts w:asciiTheme="minorHAnsi" w:eastAsia="Times New Roman" w:hAnsiTheme="minorHAnsi" w:cstheme="minorHAnsi"/>
                <w:sz w:val="16"/>
                <w:szCs w:val="16"/>
                <w:lang w:eastAsia="es-MX"/>
              </w:rPr>
            </w:pPr>
            <w:r w:rsidRPr="002150BE">
              <w:rPr>
                <w:rFonts w:asciiTheme="minorHAnsi" w:eastAsia="Times New Roman" w:hAnsiTheme="minorHAnsi" w:cstheme="minorHAnsi"/>
                <w:sz w:val="16"/>
                <w:szCs w:val="16"/>
                <w:lang w:eastAsia="es-MX"/>
              </w:rPr>
              <w:t>ODS 8. Promover el crecimiento económico sostenido, inclusivo y sostenible, el empleo pleno y productivo y el trabajo decente para todos.</w:t>
            </w:r>
          </w:p>
        </w:tc>
        <w:tc>
          <w:tcPr>
            <w:tcW w:w="0" w:type="auto"/>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6D463992" w14:textId="77777777" w:rsidR="007B6CFB" w:rsidRPr="002150BE" w:rsidRDefault="007B6CFB" w:rsidP="00760976">
            <w:pPr>
              <w:spacing w:after="0" w:line="240" w:lineRule="auto"/>
              <w:jc w:val="center"/>
              <w:rPr>
                <w:rFonts w:asciiTheme="minorHAnsi" w:eastAsia="Times New Roman" w:hAnsiTheme="minorHAnsi" w:cstheme="minorHAnsi"/>
                <w:sz w:val="16"/>
                <w:szCs w:val="16"/>
                <w:lang w:eastAsia="es-MX"/>
              </w:rPr>
            </w:pPr>
            <w:r w:rsidRPr="002150BE">
              <w:rPr>
                <w:rFonts w:asciiTheme="minorHAnsi" w:eastAsia="Times New Roman" w:hAnsiTheme="minorHAnsi" w:cstheme="minorHAnsi"/>
                <w:sz w:val="16"/>
                <w:szCs w:val="16"/>
                <w:lang w:eastAsia="es-MX"/>
              </w:rPr>
              <w:t>8.6 (reducir la proporción de jóvenes que no trabajan ni estudian ni se capacitan)</w:t>
            </w:r>
          </w:p>
        </w:tc>
        <w:tc>
          <w:tcPr>
            <w:tcW w:w="3355"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3A1B7F77" w14:textId="77777777" w:rsidR="007B6CFB" w:rsidRPr="002150BE" w:rsidRDefault="007B6CFB" w:rsidP="007B6CFB">
            <w:pPr>
              <w:spacing w:after="0" w:line="240" w:lineRule="auto"/>
              <w:jc w:val="center"/>
              <w:rPr>
                <w:rFonts w:asciiTheme="minorHAnsi" w:eastAsia="Times New Roman" w:hAnsiTheme="minorHAnsi" w:cstheme="minorHAnsi"/>
                <w:sz w:val="16"/>
                <w:szCs w:val="16"/>
                <w:lang w:eastAsia="es-MX"/>
              </w:rPr>
            </w:pPr>
            <w:r w:rsidRPr="002150BE">
              <w:rPr>
                <w:rFonts w:asciiTheme="minorHAnsi" w:eastAsia="Times New Roman" w:hAnsiTheme="minorHAnsi" w:cstheme="minorHAnsi"/>
                <w:sz w:val="16"/>
                <w:szCs w:val="16"/>
                <w:lang w:eastAsia="es-MX"/>
              </w:rPr>
              <w:t>Indirecta. El Pp fortalece la empleabilidad de jóvenes mediante estadías profesionales obligatorias, convenios de vinculación con empresas, bolsa de trabajo y seguimiento de egresados, contribuyendo a que un mayor número de jóvenes cuente con competencias para insertarse en empleo formal o emprendimiento y disminuya el riesgo de no estudiar ni trabajar.</w:t>
            </w:r>
          </w:p>
        </w:tc>
        <w:tc>
          <w:tcPr>
            <w:tcW w:w="2312"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F5C196" w14:textId="77777777" w:rsidR="007B6CFB" w:rsidRPr="002150BE" w:rsidRDefault="007B6CFB" w:rsidP="007B6CFB">
            <w:pPr>
              <w:spacing w:after="0" w:line="240" w:lineRule="auto"/>
              <w:jc w:val="center"/>
              <w:rPr>
                <w:rFonts w:asciiTheme="minorHAnsi" w:eastAsia="Times New Roman" w:hAnsiTheme="minorHAnsi" w:cstheme="minorHAnsi"/>
                <w:sz w:val="16"/>
                <w:szCs w:val="16"/>
                <w:lang w:eastAsia="es-MX"/>
              </w:rPr>
            </w:pPr>
            <w:r w:rsidRPr="002150BE">
              <w:rPr>
                <w:rFonts w:asciiTheme="minorHAnsi" w:eastAsia="Times New Roman" w:hAnsiTheme="minorHAnsi" w:cstheme="minorHAnsi"/>
                <w:sz w:val="16"/>
                <w:szCs w:val="16"/>
                <w:lang w:eastAsia="es-MX"/>
              </w:rPr>
              <w:t>La vinculación con ODS 8 se considera consistente; no obstante, se recomienda robustecer la medición sistemática de inserción laboral y condiciones de empleo de las personas egresadas para documentar mejor el aporte del Pp al trabajo decente.</w:t>
            </w:r>
          </w:p>
        </w:tc>
      </w:tr>
      <w:tr w:rsidR="00760976" w:rsidRPr="002150BE" w14:paraId="05597959" w14:textId="77777777" w:rsidTr="008F5F25">
        <w:trPr>
          <w:trHeight w:val="419"/>
        </w:trPr>
        <w:tc>
          <w:tcPr>
            <w:tcW w:w="0" w:type="auto"/>
            <w:gridSpan w:val="3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F7F7F" w:themeFill="text1" w:themeFillTint="80"/>
            <w:noWrap/>
            <w:vAlign w:val="center"/>
            <w:hideMark/>
          </w:tcPr>
          <w:p w14:paraId="46D8C710" w14:textId="77777777" w:rsidR="00760976" w:rsidRPr="002150BE" w:rsidRDefault="00760976" w:rsidP="00760976">
            <w:pPr>
              <w:spacing w:after="0" w:line="240" w:lineRule="auto"/>
              <w:jc w:val="center"/>
              <w:rPr>
                <w:rFonts w:asciiTheme="minorHAnsi" w:eastAsia="Times New Roman" w:hAnsiTheme="minorHAnsi" w:cstheme="minorHAnsi"/>
                <w:b/>
                <w:bCs/>
                <w:color w:val="FFFFFF"/>
                <w:sz w:val="18"/>
                <w:szCs w:val="18"/>
                <w:lang w:eastAsia="es-MX"/>
              </w:rPr>
            </w:pPr>
            <w:r w:rsidRPr="002150BE">
              <w:rPr>
                <w:rFonts w:asciiTheme="minorHAnsi" w:eastAsia="Times New Roman" w:hAnsiTheme="minorHAnsi" w:cstheme="minorHAnsi"/>
                <w:b/>
                <w:bCs/>
                <w:color w:val="FFFFFF"/>
                <w:sz w:val="18"/>
                <w:szCs w:val="18"/>
                <w:lang w:eastAsia="es-MX"/>
              </w:rPr>
              <w:t>Propuesta de vinculación de la instancia evaluadora</w:t>
            </w:r>
          </w:p>
        </w:tc>
      </w:tr>
      <w:tr w:rsidR="00095F09" w:rsidRPr="002150BE" w14:paraId="5ADE16D9" w14:textId="77777777" w:rsidTr="000A4BBB">
        <w:trPr>
          <w:trHeight w:val="254"/>
        </w:trPr>
        <w:tc>
          <w:tcPr>
            <w:tcW w:w="0" w:type="auto"/>
            <w:tcBorders>
              <w:top w:val="nil"/>
              <w:left w:val="single" w:sz="4" w:space="0" w:color="BFBFBF" w:themeColor="background1" w:themeShade="BF"/>
              <w:right w:val="nil"/>
            </w:tcBorders>
            <w:noWrap/>
            <w:vAlign w:val="center"/>
            <w:hideMark/>
          </w:tcPr>
          <w:p w14:paraId="5490F837" w14:textId="77777777" w:rsidR="00760976" w:rsidRPr="002150BE" w:rsidRDefault="00760976" w:rsidP="00760976">
            <w:pPr>
              <w:spacing w:after="0" w:line="240" w:lineRule="auto"/>
              <w:rPr>
                <w:rFonts w:asciiTheme="minorHAnsi" w:eastAsia="Times New Roman" w:hAnsiTheme="minorHAnsi" w:cstheme="minorHAnsi"/>
                <w:color w:val="000000"/>
                <w:sz w:val="18"/>
                <w:szCs w:val="18"/>
                <w:lang w:eastAsia="es-MX"/>
              </w:rPr>
            </w:pPr>
            <w:r w:rsidRPr="002150BE">
              <w:rPr>
                <w:rFonts w:asciiTheme="minorHAnsi" w:eastAsia="Times New Roman" w:hAnsiTheme="minorHAnsi" w:cstheme="minorHAnsi"/>
                <w:color w:val="000000"/>
                <w:sz w:val="18"/>
                <w:szCs w:val="18"/>
                <w:lang w:eastAsia="es-MX"/>
              </w:rPr>
              <w:t> </w:t>
            </w:r>
          </w:p>
        </w:tc>
        <w:tc>
          <w:tcPr>
            <w:tcW w:w="0" w:type="auto"/>
            <w:gridSpan w:val="2"/>
            <w:tcBorders>
              <w:top w:val="nil"/>
              <w:left w:val="nil"/>
              <w:right w:val="nil"/>
            </w:tcBorders>
            <w:noWrap/>
            <w:vAlign w:val="bottom"/>
            <w:hideMark/>
          </w:tcPr>
          <w:p w14:paraId="588F2840" w14:textId="77777777" w:rsidR="00760976" w:rsidRPr="002150BE" w:rsidRDefault="00760976" w:rsidP="00760976">
            <w:pPr>
              <w:spacing w:after="0" w:line="240" w:lineRule="auto"/>
              <w:rPr>
                <w:rFonts w:asciiTheme="minorHAnsi" w:eastAsia="Times New Roman" w:hAnsiTheme="minorHAnsi" w:cstheme="minorHAnsi"/>
                <w:color w:val="000000"/>
                <w:sz w:val="18"/>
                <w:szCs w:val="18"/>
                <w:lang w:eastAsia="es-MX"/>
              </w:rPr>
            </w:pPr>
          </w:p>
          <w:tbl>
            <w:tblPr>
              <w:tblW w:w="0" w:type="auto"/>
              <w:tblCellSpacing w:w="0" w:type="dxa"/>
              <w:tblCellMar>
                <w:left w:w="0" w:type="dxa"/>
                <w:right w:w="0" w:type="dxa"/>
              </w:tblCellMar>
              <w:tblLook w:val="04A0" w:firstRow="1" w:lastRow="0" w:firstColumn="1" w:lastColumn="0" w:noHBand="0" w:noVBand="1"/>
            </w:tblPr>
            <w:tblGrid>
              <w:gridCol w:w="348"/>
            </w:tblGrid>
            <w:tr w:rsidR="00760976" w:rsidRPr="002150BE" w14:paraId="5A755BCC" w14:textId="77777777" w:rsidTr="007E1E04">
              <w:trPr>
                <w:trHeight w:val="254"/>
                <w:tblCellSpacing w:w="0" w:type="dxa"/>
              </w:trPr>
              <w:tc>
                <w:tcPr>
                  <w:tcW w:w="348" w:type="dxa"/>
                  <w:tcBorders>
                    <w:top w:val="nil"/>
                    <w:left w:val="nil"/>
                    <w:bottom w:val="nil"/>
                    <w:right w:val="nil"/>
                  </w:tcBorders>
                  <w:noWrap/>
                  <w:vAlign w:val="center"/>
                  <w:hideMark/>
                </w:tcPr>
                <w:p w14:paraId="07080A07" w14:textId="77777777" w:rsidR="00760976" w:rsidRPr="002150BE" w:rsidRDefault="00760976" w:rsidP="00760976">
                  <w:pPr>
                    <w:spacing w:after="0" w:line="240" w:lineRule="auto"/>
                    <w:rPr>
                      <w:rFonts w:asciiTheme="minorHAnsi" w:eastAsia="Times New Roman" w:hAnsiTheme="minorHAnsi" w:cstheme="minorHAnsi"/>
                      <w:color w:val="000000"/>
                      <w:sz w:val="18"/>
                      <w:szCs w:val="18"/>
                      <w:lang w:eastAsia="es-MX"/>
                    </w:rPr>
                  </w:pPr>
                </w:p>
              </w:tc>
            </w:tr>
          </w:tbl>
          <w:p w14:paraId="634F9638" w14:textId="77777777" w:rsidR="00760976" w:rsidRPr="002150BE" w:rsidRDefault="00760976" w:rsidP="00760976">
            <w:pPr>
              <w:spacing w:after="0" w:line="240" w:lineRule="auto"/>
              <w:rPr>
                <w:rFonts w:asciiTheme="minorHAnsi" w:eastAsia="Times New Roman" w:hAnsiTheme="minorHAnsi" w:cstheme="minorHAnsi"/>
                <w:color w:val="000000"/>
                <w:sz w:val="18"/>
                <w:szCs w:val="18"/>
                <w:lang w:eastAsia="es-MX"/>
              </w:rPr>
            </w:pPr>
          </w:p>
        </w:tc>
        <w:tc>
          <w:tcPr>
            <w:tcW w:w="0" w:type="auto"/>
            <w:tcBorders>
              <w:top w:val="nil"/>
              <w:left w:val="nil"/>
              <w:right w:val="nil"/>
            </w:tcBorders>
            <w:noWrap/>
            <w:vAlign w:val="center"/>
            <w:hideMark/>
          </w:tcPr>
          <w:p w14:paraId="7F42DEDF" w14:textId="77777777" w:rsidR="00760976" w:rsidRPr="002150BE" w:rsidRDefault="00760976" w:rsidP="00760976">
            <w:pPr>
              <w:spacing w:after="0" w:line="240" w:lineRule="auto"/>
              <w:rPr>
                <w:rFonts w:asciiTheme="minorHAnsi" w:eastAsia="Times New Roman" w:hAnsiTheme="minorHAnsi" w:cstheme="minorHAnsi"/>
                <w:sz w:val="18"/>
                <w:szCs w:val="18"/>
                <w:lang w:eastAsia="es-MX"/>
              </w:rPr>
            </w:pPr>
          </w:p>
        </w:tc>
        <w:tc>
          <w:tcPr>
            <w:tcW w:w="0" w:type="auto"/>
            <w:tcBorders>
              <w:top w:val="nil"/>
              <w:left w:val="nil"/>
              <w:right w:val="nil"/>
            </w:tcBorders>
            <w:noWrap/>
            <w:vAlign w:val="center"/>
            <w:hideMark/>
          </w:tcPr>
          <w:p w14:paraId="436D0CDE" w14:textId="77777777" w:rsidR="00760976" w:rsidRPr="002150BE" w:rsidRDefault="00760976" w:rsidP="00760976">
            <w:pPr>
              <w:spacing w:after="0" w:line="240" w:lineRule="auto"/>
              <w:rPr>
                <w:rFonts w:asciiTheme="minorHAnsi" w:eastAsia="Times New Roman" w:hAnsiTheme="minorHAnsi" w:cstheme="minorHAnsi"/>
                <w:sz w:val="18"/>
                <w:szCs w:val="18"/>
                <w:lang w:eastAsia="es-MX"/>
              </w:rPr>
            </w:pPr>
          </w:p>
        </w:tc>
        <w:tc>
          <w:tcPr>
            <w:tcW w:w="0" w:type="auto"/>
            <w:tcBorders>
              <w:top w:val="nil"/>
              <w:left w:val="nil"/>
              <w:right w:val="nil"/>
            </w:tcBorders>
            <w:noWrap/>
            <w:vAlign w:val="center"/>
            <w:hideMark/>
          </w:tcPr>
          <w:p w14:paraId="4993843A" w14:textId="694B2E06" w:rsidR="00760976" w:rsidRPr="002150BE" w:rsidRDefault="00760976" w:rsidP="00760976">
            <w:pPr>
              <w:spacing w:after="0" w:line="240" w:lineRule="auto"/>
              <w:rPr>
                <w:rFonts w:asciiTheme="minorHAnsi" w:eastAsia="Times New Roman" w:hAnsiTheme="minorHAnsi" w:cstheme="minorHAnsi"/>
                <w:sz w:val="18"/>
                <w:szCs w:val="18"/>
                <w:lang w:eastAsia="es-MX"/>
              </w:rPr>
            </w:pPr>
          </w:p>
        </w:tc>
        <w:tc>
          <w:tcPr>
            <w:tcW w:w="0" w:type="auto"/>
            <w:tcBorders>
              <w:top w:val="nil"/>
              <w:left w:val="nil"/>
              <w:right w:val="nil"/>
            </w:tcBorders>
            <w:noWrap/>
            <w:vAlign w:val="center"/>
            <w:hideMark/>
          </w:tcPr>
          <w:p w14:paraId="3B448E45" w14:textId="77777777" w:rsidR="00760976" w:rsidRPr="002150BE" w:rsidRDefault="00760976" w:rsidP="00760976">
            <w:pPr>
              <w:spacing w:after="0" w:line="240" w:lineRule="auto"/>
              <w:rPr>
                <w:rFonts w:asciiTheme="minorHAnsi" w:eastAsia="Times New Roman" w:hAnsiTheme="minorHAnsi" w:cstheme="minorHAnsi"/>
                <w:sz w:val="18"/>
                <w:szCs w:val="18"/>
                <w:lang w:eastAsia="es-MX"/>
              </w:rPr>
            </w:pPr>
          </w:p>
        </w:tc>
        <w:tc>
          <w:tcPr>
            <w:tcW w:w="0" w:type="auto"/>
            <w:gridSpan w:val="2"/>
            <w:tcBorders>
              <w:top w:val="nil"/>
              <w:left w:val="nil"/>
              <w:right w:val="nil"/>
            </w:tcBorders>
            <w:noWrap/>
            <w:vAlign w:val="center"/>
            <w:hideMark/>
          </w:tcPr>
          <w:p w14:paraId="5012C7CE" w14:textId="77777777" w:rsidR="00760976" w:rsidRPr="002150BE" w:rsidRDefault="00760976" w:rsidP="00760976">
            <w:pPr>
              <w:spacing w:after="0" w:line="240" w:lineRule="auto"/>
              <w:rPr>
                <w:rFonts w:asciiTheme="minorHAnsi" w:eastAsia="Times New Roman" w:hAnsiTheme="minorHAnsi" w:cstheme="minorHAnsi"/>
                <w:sz w:val="18"/>
                <w:szCs w:val="18"/>
                <w:lang w:eastAsia="es-MX"/>
              </w:rPr>
            </w:pPr>
          </w:p>
        </w:tc>
        <w:tc>
          <w:tcPr>
            <w:tcW w:w="0" w:type="auto"/>
            <w:gridSpan w:val="2"/>
            <w:tcBorders>
              <w:top w:val="nil"/>
              <w:left w:val="nil"/>
              <w:right w:val="nil"/>
            </w:tcBorders>
            <w:noWrap/>
            <w:vAlign w:val="center"/>
            <w:hideMark/>
          </w:tcPr>
          <w:p w14:paraId="7B880266" w14:textId="77777777" w:rsidR="00760976" w:rsidRPr="002150BE" w:rsidRDefault="00760976" w:rsidP="00760976">
            <w:pPr>
              <w:spacing w:after="0" w:line="240" w:lineRule="auto"/>
              <w:rPr>
                <w:rFonts w:asciiTheme="minorHAnsi" w:eastAsia="Times New Roman" w:hAnsiTheme="minorHAnsi" w:cstheme="minorHAnsi"/>
                <w:sz w:val="18"/>
                <w:szCs w:val="18"/>
                <w:lang w:eastAsia="es-MX"/>
              </w:rPr>
            </w:pPr>
          </w:p>
        </w:tc>
        <w:tc>
          <w:tcPr>
            <w:tcW w:w="632" w:type="dxa"/>
            <w:tcBorders>
              <w:top w:val="nil"/>
              <w:left w:val="nil"/>
              <w:right w:val="nil"/>
            </w:tcBorders>
            <w:noWrap/>
            <w:vAlign w:val="center"/>
            <w:hideMark/>
          </w:tcPr>
          <w:p w14:paraId="2BD0F7B8" w14:textId="77777777" w:rsidR="00760976" w:rsidRPr="002150BE" w:rsidRDefault="00760976" w:rsidP="00760976">
            <w:pPr>
              <w:spacing w:after="0" w:line="240" w:lineRule="auto"/>
              <w:rPr>
                <w:rFonts w:asciiTheme="minorHAnsi" w:eastAsia="Times New Roman" w:hAnsiTheme="minorHAnsi" w:cstheme="minorHAnsi"/>
                <w:sz w:val="18"/>
                <w:szCs w:val="18"/>
                <w:lang w:eastAsia="es-MX"/>
              </w:rPr>
            </w:pPr>
          </w:p>
        </w:tc>
        <w:tc>
          <w:tcPr>
            <w:tcW w:w="358" w:type="dxa"/>
            <w:gridSpan w:val="2"/>
            <w:tcBorders>
              <w:top w:val="nil"/>
              <w:left w:val="nil"/>
              <w:right w:val="nil"/>
            </w:tcBorders>
            <w:noWrap/>
            <w:vAlign w:val="center"/>
            <w:hideMark/>
          </w:tcPr>
          <w:p w14:paraId="0ABC20A5" w14:textId="77777777" w:rsidR="00760976" w:rsidRPr="002150BE" w:rsidRDefault="00760976" w:rsidP="00760976">
            <w:pPr>
              <w:spacing w:after="0" w:line="240" w:lineRule="auto"/>
              <w:rPr>
                <w:rFonts w:asciiTheme="minorHAnsi" w:eastAsia="Times New Roman" w:hAnsiTheme="minorHAnsi" w:cstheme="minorHAnsi"/>
                <w:sz w:val="18"/>
                <w:szCs w:val="18"/>
                <w:lang w:eastAsia="es-MX"/>
              </w:rPr>
            </w:pPr>
          </w:p>
        </w:tc>
        <w:tc>
          <w:tcPr>
            <w:tcW w:w="0" w:type="auto"/>
            <w:gridSpan w:val="6"/>
            <w:tcBorders>
              <w:top w:val="nil"/>
              <w:left w:val="nil"/>
              <w:right w:val="nil"/>
            </w:tcBorders>
            <w:noWrap/>
            <w:vAlign w:val="center"/>
            <w:hideMark/>
          </w:tcPr>
          <w:p w14:paraId="6E3D0266" w14:textId="77777777" w:rsidR="00760976" w:rsidRPr="002150BE" w:rsidRDefault="00760976" w:rsidP="00760976">
            <w:pPr>
              <w:spacing w:after="0" w:line="240" w:lineRule="auto"/>
              <w:rPr>
                <w:rFonts w:asciiTheme="minorHAnsi" w:eastAsia="Times New Roman" w:hAnsiTheme="minorHAnsi" w:cstheme="minorHAnsi"/>
                <w:sz w:val="18"/>
                <w:szCs w:val="18"/>
                <w:lang w:eastAsia="es-MX"/>
              </w:rPr>
            </w:pPr>
          </w:p>
        </w:tc>
        <w:tc>
          <w:tcPr>
            <w:tcW w:w="1147" w:type="dxa"/>
            <w:gridSpan w:val="2"/>
            <w:tcBorders>
              <w:top w:val="nil"/>
              <w:left w:val="nil"/>
              <w:right w:val="nil"/>
            </w:tcBorders>
            <w:noWrap/>
            <w:vAlign w:val="center"/>
            <w:hideMark/>
          </w:tcPr>
          <w:p w14:paraId="3592068E" w14:textId="77777777" w:rsidR="00760976" w:rsidRPr="002150BE" w:rsidRDefault="00760976" w:rsidP="00760976">
            <w:pPr>
              <w:spacing w:after="0" w:line="240" w:lineRule="auto"/>
              <w:rPr>
                <w:rFonts w:asciiTheme="minorHAnsi" w:eastAsia="Times New Roman" w:hAnsiTheme="minorHAnsi" w:cstheme="minorHAnsi"/>
                <w:sz w:val="18"/>
                <w:szCs w:val="18"/>
                <w:lang w:eastAsia="es-MX"/>
              </w:rPr>
            </w:pPr>
          </w:p>
        </w:tc>
        <w:tc>
          <w:tcPr>
            <w:tcW w:w="462" w:type="dxa"/>
            <w:gridSpan w:val="3"/>
            <w:tcBorders>
              <w:top w:val="nil"/>
              <w:left w:val="nil"/>
              <w:right w:val="nil"/>
            </w:tcBorders>
            <w:noWrap/>
            <w:vAlign w:val="center"/>
            <w:hideMark/>
          </w:tcPr>
          <w:p w14:paraId="3E124709" w14:textId="77777777" w:rsidR="00760976" w:rsidRPr="002150BE" w:rsidRDefault="00760976" w:rsidP="00760976">
            <w:pPr>
              <w:spacing w:after="0" w:line="240" w:lineRule="auto"/>
              <w:rPr>
                <w:rFonts w:asciiTheme="minorHAnsi" w:eastAsia="Times New Roman" w:hAnsiTheme="minorHAnsi" w:cstheme="minorHAnsi"/>
                <w:sz w:val="18"/>
                <w:szCs w:val="18"/>
                <w:lang w:eastAsia="es-MX"/>
              </w:rPr>
            </w:pPr>
          </w:p>
        </w:tc>
        <w:tc>
          <w:tcPr>
            <w:tcW w:w="0" w:type="auto"/>
            <w:gridSpan w:val="3"/>
            <w:tcBorders>
              <w:top w:val="nil"/>
              <w:left w:val="nil"/>
              <w:right w:val="nil"/>
            </w:tcBorders>
            <w:noWrap/>
            <w:vAlign w:val="center"/>
            <w:hideMark/>
          </w:tcPr>
          <w:p w14:paraId="5E3BE8C1" w14:textId="5B44D31A" w:rsidR="00760976" w:rsidRPr="002150BE" w:rsidRDefault="00760976" w:rsidP="00760976">
            <w:pPr>
              <w:spacing w:after="0" w:line="240" w:lineRule="auto"/>
              <w:rPr>
                <w:rFonts w:asciiTheme="minorHAnsi" w:eastAsia="Times New Roman" w:hAnsiTheme="minorHAnsi" w:cstheme="minorHAnsi"/>
                <w:sz w:val="18"/>
                <w:szCs w:val="18"/>
                <w:lang w:eastAsia="es-MX"/>
              </w:rPr>
            </w:pPr>
          </w:p>
        </w:tc>
        <w:tc>
          <w:tcPr>
            <w:tcW w:w="0" w:type="auto"/>
            <w:tcBorders>
              <w:top w:val="nil"/>
              <w:left w:val="nil"/>
              <w:right w:val="nil"/>
            </w:tcBorders>
            <w:noWrap/>
            <w:vAlign w:val="center"/>
            <w:hideMark/>
          </w:tcPr>
          <w:p w14:paraId="3B5D0EB4" w14:textId="77777777" w:rsidR="00760976" w:rsidRPr="002150BE" w:rsidRDefault="00760976" w:rsidP="00760976">
            <w:pPr>
              <w:spacing w:after="0" w:line="240" w:lineRule="auto"/>
              <w:rPr>
                <w:rFonts w:asciiTheme="minorHAnsi" w:eastAsia="Times New Roman" w:hAnsiTheme="minorHAnsi" w:cstheme="minorHAnsi"/>
                <w:sz w:val="18"/>
                <w:szCs w:val="18"/>
                <w:lang w:eastAsia="es-MX"/>
              </w:rPr>
            </w:pPr>
          </w:p>
        </w:tc>
        <w:tc>
          <w:tcPr>
            <w:tcW w:w="0" w:type="auto"/>
            <w:gridSpan w:val="2"/>
            <w:tcBorders>
              <w:top w:val="nil"/>
              <w:left w:val="nil"/>
              <w:right w:val="nil"/>
            </w:tcBorders>
            <w:noWrap/>
            <w:vAlign w:val="center"/>
            <w:hideMark/>
          </w:tcPr>
          <w:p w14:paraId="7C09DA04" w14:textId="77777777" w:rsidR="00760976" w:rsidRPr="002150BE" w:rsidRDefault="00760976" w:rsidP="00760976">
            <w:pPr>
              <w:spacing w:after="0" w:line="240" w:lineRule="auto"/>
              <w:rPr>
                <w:rFonts w:asciiTheme="minorHAnsi" w:eastAsia="Times New Roman" w:hAnsiTheme="minorHAnsi" w:cstheme="minorHAnsi"/>
                <w:sz w:val="18"/>
                <w:szCs w:val="18"/>
                <w:lang w:eastAsia="es-MX"/>
              </w:rPr>
            </w:pPr>
          </w:p>
        </w:tc>
        <w:tc>
          <w:tcPr>
            <w:tcW w:w="0" w:type="auto"/>
            <w:tcBorders>
              <w:top w:val="nil"/>
              <w:left w:val="nil"/>
              <w:right w:val="nil"/>
            </w:tcBorders>
            <w:noWrap/>
            <w:vAlign w:val="center"/>
            <w:hideMark/>
          </w:tcPr>
          <w:p w14:paraId="20FDC85C" w14:textId="5FDD0533" w:rsidR="00760976" w:rsidRPr="002150BE" w:rsidRDefault="00760976" w:rsidP="00760976">
            <w:pPr>
              <w:spacing w:after="0" w:line="240" w:lineRule="auto"/>
              <w:rPr>
                <w:rFonts w:asciiTheme="minorHAnsi" w:eastAsia="Times New Roman" w:hAnsiTheme="minorHAnsi" w:cstheme="minorHAnsi"/>
                <w:sz w:val="18"/>
                <w:szCs w:val="18"/>
                <w:lang w:eastAsia="es-MX"/>
              </w:rPr>
            </w:pPr>
          </w:p>
        </w:tc>
        <w:tc>
          <w:tcPr>
            <w:tcW w:w="0" w:type="auto"/>
            <w:gridSpan w:val="3"/>
            <w:tcBorders>
              <w:top w:val="nil"/>
              <w:left w:val="nil"/>
              <w:right w:val="nil"/>
            </w:tcBorders>
            <w:noWrap/>
            <w:vAlign w:val="center"/>
            <w:hideMark/>
          </w:tcPr>
          <w:p w14:paraId="42FC4378" w14:textId="04319BA3" w:rsidR="00760976" w:rsidRPr="002150BE" w:rsidRDefault="00095F09" w:rsidP="00760976">
            <w:pPr>
              <w:spacing w:after="0" w:line="240" w:lineRule="auto"/>
              <w:rPr>
                <w:rFonts w:asciiTheme="minorHAnsi" w:eastAsia="Times New Roman" w:hAnsiTheme="minorHAnsi" w:cstheme="minorHAnsi"/>
                <w:sz w:val="18"/>
                <w:szCs w:val="18"/>
                <w:lang w:eastAsia="es-MX"/>
              </w:rPr>
            </w:pPr>
            <w:r w:rsidRPr="002150BE">
              <w:rPr>
                <w:rFonts w:asciiTheme="minorHAnsi" w:eastAsia="Times New Roman" w:hAnsiTheme="minorHAnsi" w:cstheme="minorHAnsi"/>
                <w:noProof/>
                <w:color w:val="000000"/>
                <w:sz w:val="22"/>
                <w:lang w:eastAsia="es-MX"/>
              </w:rPr>
              <w:drawing>
                <wp:anchor distT="0" distB="0" distL="114300" distR="114300" simplePos="0" relativeHeight="251697664" behindDoc="0" locked="0" layoutInCell="1" allowOverlap="1" wp14:anchorId="304E8875" wp14:editId="6691FFA8">
                  <wp:simplePos x="0" y="0"/>
                  <wp:positionH relativeFrom="column">
                    <wp:posOffset>-5253355</wp:posOffset>
                  </wp:positionH>
                  <wp:positionV relativeFrom="paragraph">
                    <wp:posOffset>-47625</wp:posOffset>
                  </wp:positionV>
                  <wp:extent cx="5648325" cy="371475"/>
                  <wp:effectExtent l="0" t="0" r="9525" b="9525"/>
                  <wp:wrapNone/>
                  <wp:docPr id="505" name="Imagen 505"/>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rotWithShape="1">
                          <a:blip r:embed="rId27"/>
                          <a:srcRect l="5869" t="57905" r="7110" b="33272"/>
                          <a:stretch/>
                        </pic:blipFill>
                        <pic:spPr>
                          <a:xfrm>
                            <a:off x="0" y="0"/>
                            <a:ext cx="5648325" cy="371475"/>
                          </a:xfrm>
                          <a:prstGeom prst="rect">
                            <a:avLst/>
                          </a:prstGeom>
                        </pic:spPr>
                      </pic:pic>
                    </a:graphicData>
                  </a:graphic>
                  <wp14:sizeRelH relativeFrom="page">
                    <wp14:pctWidth>0</wp14:pctWidth>
                  </wp14:sizeRelH>
                  <wp14:sizeRelV relativeFrom="page">
                    <wp14:pctHeight>0</wp14:pctHeight>
                  </wp14:sizeRelV>
                </wp:anchor>
              </w:drawing>
            </w:r>
          </w:p>
        </w:tc>
        <w:tc>
          <w:tcPr>
            <w:tcW w:w="0" w:type="auto"/>
            <w:tcBorders>
              <w:top w:val="nil"/>
              <w:left w:val="nil"/>
              <w:right w:val="single" w:sz="4" w:space="0" w:color="BFBFBF" w:themeColor="background1" w:themeShade="BF"/>
            </w:tcBorders>
            <w:noWrap/>
            <w:vAlign w:val="center"/>
            <w:hideMark/>
          </w:tcPr>
          <w:p w14:paraId="62B52876" w14:textId="77777777" w:rsidR="00760976" w:rsidRPr="002150BE" w:rsidRDefault="00760976" w:rsidP="00760976">
            <w:pPr>
              <w:spacing w:after="0" w:line="240" w:lineRule="auto"/>
              <w:rPr>
                <w:rFonts w:asciiTheme="minorHAnsi" w:eastAsia="Times New Roman" w:hAnsiTheme="minorHAnsi" w:cstheme="minorHAnsi"/>
                <w:color w:val="000000"/>
                <w:sz w:val="18"/>
                <w:szCs w:val="18"/>
                <w:lang w:eastAsia="es-MX"/>
              </w:rPr>
            </w:pPr>
            <w:r w:rsidRPr="002150BE">
              <w:rPr>
                <w:rFonts w:asciiTheme="minorHAnsi" w:eastAsia="Times New Roman" w:hAnsiTheme="minorHAnsi" w:cstheme="minorHAnsi"/>
                <w:color w:val="000000"/>
                <w:sz w:val="18"/>
                <w:szCs w:val="18"/>
                <w:lang w:eastAsia="es-MX"/>
              </w:rPr>
              <w:t> </w:t>
            </w:r>
          </w:p>
        </w:tc>
      </w:tr>
      <w:tr w:rsidR="00095F09" w:rsidRPr="002150BE" w14:paraId="651A063B" w14:textId="77777777" w:rsidTr="000A4BBB">
        <w:trPr>
          <w:trHeight w:val="567"/>
        </w:trPr>
        <w:tc>
          <w:tcPr>
            <w:tcW w:w="0" w:type="auto"/>
            <w:gridSpan w:val="2"/>
            <w:tcBorders>
              <w:top w:val="nil"/>
              <w:left w:val="single" w:sz="4" w:space="0" w:color="BFBFBF" w:themeColor="background1" w:themeShade="BF"/>
              <w:right w:val="single" w:sz="4" w:space="0" w:color="BFBFBF" w:themeColor="background1" w:themeShade="BF"/>
            </w:tcBorders>
            <w:noWrap/>
            <w:vAlign w:val="center"/>
            <w:hideMark/>
          </w:tcPr>
          <w:p w14:paraId="151F76D3" w14:textId="77777777" w:rsidR="00760976" w:rsidRPr="002150BE" w:rsidRDefault="00760976" w:rsidP="008F5F25">
            <w:pPr>
              <w:spacing w:after="0" w:line="240" w:lineRule="auto"/>
              <w:jc w:val="center"/>
              <w:rPr>
                <w:rFonts w:asciiTheme="minorHAnsi" w:eastAsia="Times New Roman" w:hAnsiTheme="minorHAnsi" w:cstheme="minorHAnsi"/>
                <w:b/>
                <w:bCs/>
                <w:color w:val="000000"/>
                <w:sz w:val="18"/>
                <w:szCs w:val="18"/>
                <w:lang w:eastAsia="es-MX"/>
              </w:rPr>
            </w:pPr>
          </w:p>
        </w:tc>
        <w:tc>
          <w:tcPr>
            <w:tcW w:w="2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1E3705" w14:textId="77777777" w:rsidR="00760976" w:rsidRPr="002150BE" w:rsidRDefault="00760976" w:rsidP="008F5F25">
            <w:pPr>
              <w:spacing w:after="0" w:line="240" w:lineRule="auto"/>
              <w:jc w:val="center"/>
              <w:rPr>
                <w:rFonts w:asciiTheme="minorHAnsi" w:eastAsia="Times New Roman" w:hAnsiTheme="minorHAnsi" w:cstheme="minorHAnsi"/>
                <w:b/>
                <w:bCs/>
                <w:color w:val="000000"/>
                <w:sz w:val="18"/>
                <w:szCs w:val="18"/>
                <w:lang w:eastAsia="es-MX"/>
              </w:rPr>
            </w:pPr>
          </w:p>
        </w:tc>
        <w:tc>
          <w:tcPr>
            <w:tcW w:w="43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31A7C3" w14:textId="77777777" w:rsidR="00760976" w:rsidRPr="002150BE" w:rsidRDefault="00760976" w:rsidP="008F5F25">
            <w:pPr>
              <w:spacing w:after="0" w:line="240" w:lineRule="auto"/>
              <w:jc w:val="center"/>
              <w:rPr>
                <w:rFonts w:asciiTheme="minorHAnsi" w:eastAsia="Times New Roman" w:hAnsiTheme="minorHAnsi" w:cstheme="minorHAnsi"/>
                <w:b/>
                <w:bCs/>
                <w:color w:val="000000"/>
                <w:sz w:val="18"/>
                <w:szCs w:val="18"/>
                <w:lang w:eastAsia="es-MX"/>
              </w:rPr>
            </w:pPr>
          </w:p>
        </w:tc>
        <w:tc>
          <w:tcPr>
            <w:tcW w:w="63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FDC1E0" w14:textId="77777777" w:rsidR="00760976" w:rsidRPr="002150BE" w:rsidRDefault="008F5F25" w:rsidP="008F5F25">
            <w:pPr>
              <w:spacing w:after="0" w:line="240" w:lineRule="auto"/>
              <w:jc w:val="center"/>
              <w:rPr>
                <w:rFonts w:asciiTheme="minorHAnsi" w:eastAsia="Times New Roman" w:hAnsiTheme="minorHAnsi" w:cstheme="minorHAnsi"/>
                <w:b/>
                <w:bCs/>
                <w:color w:val="000000"/>
                <w:sz w:val="18"/>
                <w:szCs w:val="18"/>
                <w:lang w:eastAsia="es-MX"/>
              </w:rPr>
            </w:pPr>
            <w:r w:rsidRPr="002150BE">
              <w:rPr>
                <w:rFonts w:asciiTheme="minorHAnsi" w:eastAsia="Times New Roman" w:hAnsiTheme="minorHAnsi" w:cstheme="minorHAnsi"/>
                <w:b/>
                <w:bCs/>
                <w:color w:val="000000"/>
                <w:sz w:val="18"/>
                <w:szCs w:val="18"/>
                <w:lang w:eastAsia="es-MX"/>
              </w:rPr>
              <w:t>X</w:t>
            </w:r>
          </w:p>
        </w:tc>
        <w:tc>
          <w:tcPr>
            <w:tcW w:w="29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0386A5" w14:textId="77777777" w:rsidR="00760976" w:rsidRPr="002150BE" w:rsidRDefault="008F5F25" w:rsidP="008F5F25">
            <w:pPr>
              <w:spacing w:after="0" w:line="240" w:lineRule="auto"/>
              <w:jc w:val="center"/>
              <w:rPr>
                <w:rFonts w:asciiTheme="minorHAnsi" w:eastAsia="Times New Roman" w:hAnsiTheme="minorHAnsi" w:cstheme="minorHAnsi"/>
                <w:b/>
                <w:bCs/>
                <w:color w:val="000000"/>
                <w:sz w:val="18"/>
                <w:szCs w:val="18"/>
                <w:lang w:eastAsia="es-MX"/>
              </w:rPr>
            </w:pPr>
            <w:r w:rsidRPr="002150BE">
              <w:rPr>
                <w:rFonts w:asciiTheme="minorHAnsi" w:eastAsia="Times New Roman" w:hAnsiTheme="minorHAnsi" w:cstheme="minorHAnsi"/>
                <w:b/>
                <w:bCs/>
                <w:color w:val="000000"/>
                <w:sz w:val="18"/>
                <w:szCs w:val="18"/>
                <w:lang w:eastAsia="es-MX"/>
              </w:rPr>
              <w:t>X</w:t>
            </w:r>
          </w:p>
        </w:tc>
        <w:tc>
          <w:tcPr>
            <w:tcW w:w="77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511A5F" w14:textId="77777777" w:rsidR="00760976" w:rsidRPr="002150BE" w:rsidRDefault="00760976" w:rsidP="008F5F25">
            <w:pPr>
              <w:spacing w:after="0" w:line="240" w:lineRule="auto"/>
              <w:jc w:val="center"/>
              <w:rPr>
                <w:rFonts w:asciiTheme="minorHAnsi" w:eastAsia="Times New Roman" w:hAnsiTheme="minorHAnsi" w:cstheme="minorHAnsi"/>
                <w:b/>
                <w:bCs/>
                <w:color w:val="000000"/>
                <w:sz w:val="18"/>
                <w:szCs w:val="18"/>
                <w:lang w:eastAsia="es-MX"/>
              </w:rPr>
            </w:pPr>
          </w:p>
        </w:tc>
        <w:tc>
          <w:tcPr>
            <w:tcW w:w="49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6D6B5B" w14:textId="77777777" w:rsidR="00760976" w:rsidRPr="002150BE" w:rsidRDefault="00760976" w:rsidP="008F5F25">
            <w:pPr>
              <w:spacing w:after="0" w:line="240" w:lineRule="auto"/>
              <w:jc w:val="center"/>
              <w:rPr>
                <w:rFonts w:asciiTheme="minorHAnsi" w:eastAsia="Times New Roman" w:hAnsiTheme="minorHAnsi" w:cstheme="minorHAnsi"/>
                <w:b/>
                <w:bCs/>
                <w:color w:val="000000"/>
                <w:sz w:val="18"/>
                <w:szCs w:val="18"/>
                <w:lang w:eastAsia="es-MX"/>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BC486C" w14:textId="77777777" w:rsidR="00760976" w:rsidRPr="002150BE" w:rsidRDefault="008F5F25" w:rsidP="008F5F25">
            <w:pPr>
              <w:spacing w:after="0" w:line="240" w:lineRule="auto"/>
              <w:jc w:val="center"/>
              <w:rPr>
                <w:rFonts w:asciiTheme="minorHAnsi" w:eastAsia="Times New Roman" w:hAnsiTheme="minorHAnsi" w:cstheme="minorHAnsi"/>
                <w:b/>
                <w:bCs/>
                <w:color w:val="000000"/>
                <w:sz w:val="18"/>
                <w:szCs w:val="18"/>
                <w:lang w:eastAsia="es-MX"/>
              </w:rPr>
            </w:pPr>
            <w:r w:rsidRPr="002150BE">
              <w:rPr>
                <w:rFonts w:asciiTheme="minorHAnsi" w:eastAsia="Times New Roman" w:hAnsiTheme="minorHAnsi" w:cstheme="minorHAnsi"/>
                <w:b/>
                <w:bCs/>
                <w:color w:val="000000"/>
                <w:sz w:val="18"/>
                <w:szCs w:val="18"/>
                <w:lang w:eastAsia="es-MX"/>
              </w:rPr>
              <w:t>X</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32F9DB" w14:textId="77777777" w:rsidR="00760976" w:rsidRPr="002150BE" w:rsidRDefault="00760976" w:rsidP="008F5F25">
            <w:pPr>
              <w:spacing w:after="0" w:line="240" w:lineRule="auto"/>
              <w:jc w:val="center"/>
              <w:rPr>
                <w:rFonts w:asciiTheme="minorHAnsi" w:eastAsia="Times New Roman" w:hAnsiTheme="minorHAnsi" w:cstheme="minorHAnsi"/>
                <w:b/>
                <w:bCs/>
                <w:color w:val="000000"/>
                <w:sz w:val="18"/>
                <w:szCs w:val="18"/>
                <w:lang w:eastAsia="es-MX"/>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A7F6E3" w14:textId="77777777" w:rsidR="00760976" w:rsidRPr="002150BE" w:rsidRDefault="008F5F25" w:rsidP="008F5F25">
            <w:pPr>
              <w:spacing w:after="0" w:line="240" w:lineRule="auto"/>
              <w:jc w:val="center"/>
              <w:rPr>
                <w:rFonts w:asciiTheme="minorHAnsi" w:eastAsia="Times New Roman" w:hAnsiTheme="minorHAnsi" w:cstheme="minorHAnsi"/>
                <w:b/>
                <w:bCs/>
                <w:color w:val="000000"/>
                <w:sz w:val="18"/>
                <w:szCs w:val="18"/>
                <w:lang w:eastAsia="es-MX"/>
              </w:rPr>
            </w:pPr>
            <w:r w:rsidRPr="002150BE">
              <w:rPr>
                <w:rFonts w:asciiTheme="minorHAnsi" w:eastAsia="Times New Roman" w:hAnsiTheme="minorHAnsi" w:cstheme="minorHAnsi"/>
                <w:b/>
                <w:bCs/>
                <w:color w:val="000000"/>
                <w:sz w:val="18"/>
                <w:szCs w:val="18"/>
                <w:lang w:eastAsia="es-MX"/>
              </w:rPr>
              <w:t>X</w:t>
            </w:r>
          </w:p>
        </w:tc>
        <w:tc>
          <w:tcPr>
            <w:tcW w:w="0" w:type="auto"/>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B74260" w14:textId="77777777" w:rsidR="00760976" w:rsidRPr="002150BE" w:rsidRDefault="00760976" w:rsidP="008F5F25">
            <w:pPr>
              <w:spacing w:after="0" w:line="240" w:lineRule="auto"/>
              <w:jc w:val="center"/>
              <w:rPr>
                <w:rFonts w:asciiTheme="minorHAnsi" w:eastAsia="Times New Roman" w:hAnsiTheme="minorHAnsi" w:cstheme="minorHAnsi"/>
                <w:b/>
                <w:bCs/>
                <w:color w:val="000000"/>
                <w:sz w:val="18"/>
                <w:szCs w:val="18"/>
                <w:lang w:eastAsia="es-MX"/>
              </w:rPr>
            </w:pPr>
          </w:p>
        </w:tc>
        <w:tc>
          <w:tcPr>
            <w:tcW w:w="1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7A31EC" w14:textId="77777777" w:rsidR="00760976" w:rsidRPr="002150BE" w:rsidRDefault="008F5F25" w:rsidP="008F5F25">
            <w:pPr>
              <w:spacing w:after="0" w:line="240" w:lineRule="auto"/>
              <w:jc w:val="center"/>
              <w:rPr>
                <w:rFonts w:asciiTheme="minorHAnsi" w:eastAsia="Times New Roman" w:hAnsiTheme="minorHAnsi" w:cstheme="minorHAnsi"/>
                <w:b/>
                <w:bCs/>
                <w:color w:val="000000"/>
                <w:sz w:val="18"/>
                <w:szCs w:val="18"/>
                <w:lang w:eastAsia="es-MX"/>
              </w:rPr>
            </w:pPr>
            <w:r w:rsidRPr="002150BE">
              <w:rPr>
                <w:rFonts w:asciiTheme="minorHAnsi" w:eastAsia="Times New Roman" w:hAnsiTheme="minorHAnsi" w:cstheme="minorHAnsi"/>
                <w:b/>
                <w:bCs/>
                <w:color w:val="000000"/>
                <w:sz w:val="18"/>
                <w:szCs w:val="18"/>
                <w:lang w:eastAsia="es-MX"/>
              </w:rPr>
              <w:t>X</w:t>
            </w:r>
          </w:p>
        </w:tc>
        <w:tc>
          <w:tcPr>
            <w:tcW w:w="32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D9E46E" w14:textId="77777777" w:rsidR="00760976" w:rsidRPr="002150BE" w:rsidRDefault="00760976" w:rsidP="008F5F25">
            <w:pPr>
              <w:spacing w:after="0" w:line="240" w:lineRule="auto"/>
              <w:jc w:val="center"/>
              <w:rPr>
                <w:rFonts w:asciiTheme="minorHAnsi" w:eastAsia="Times New Roman" w:hAnsiTheme="minorHAnsi" w:cstheme="minorHAnsi"/>
                <w:b/>
                <w:bCs/>
                <w:color w:val="000000"/>
                <w:sz w:val="18"/>
                <w:szCs w:val="18"/>
                <w:lang w:eastAsia="es-MX"/>
              </w:rPr>
            </w:pPr>
          </w:p>
        </w:tc>
        <w:tc>
          <w:tcPr>
            <w:tcW w:w="0" w:type="auto"/>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1D248F" w14:textId="77777777" w:rsidR="00760976" w:rsidRPr="002150BE" w:rsidRDefault="00760976" w:rsidP="008F5F25">
            <w:pPr>
              <w:spacing w:after="0" w:line="240" w:lineRule="auto"/>
              <w:jc w:val="center"/>
              <w:rPr>
                <w:rFonts w:asciiTheme="minorHAnsi" w:eastAsia="Times New Roman" w:hAnsiTheme="minorHAnsi" w:cstheme="minorHAnsi"/>
                <w:b/>
                <w:bCs/>
                <w:color w:val="000000"/>
                <w:sz w:val="18"/>
                <w:szCs w:val="18"/>
                <w:lang w:eastAsia="es-MX"/>
              </w:rPr>
            </w:pPr>
          </w:p>
        </w:tc>
        <w:tc>
          <w:tcPr>
            <w:tcW w:w="0" w:type="auto"/>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103833" w14:textId="77777777" w:rsidR="00760976" w:rsidRPr="002150BE" w:rsidRDefault="00760976" w:rsidP="008F5F25">
            <w:pPr>
              <w:spacing w:after="0" w:line="240" w:lineRule="auto"/>
              <w:jc w:val="center"/>
              <w:rPr>
                <w:rFonts w:asciiTheme="minorHAnsi" w:eastAsia="Times New Roman" w:hAnsiTheme="minorHAnsi" w:cstheme="minorHAnsi"/>
                <w:b/>
                <w:bCs/>
                <w:color w:val="000000"/>
                <w:sz w:val="18"/>
                <w:szCs w:val="18"/>
                <w:lang w:eastAsia="es-MX"/>
              </w:rPr>
            </w:pPr>
          </w:p>
        </w:tc>
        <w:tc>
          <w:tcPr>
            <w:tcW w:w="0" w:type="auto"/>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48C37D" w14:textId="76694C70" w:rsidR="00760976" w:rsidRPr="002150BE" w:rsidRDefault="008F5F25" w:rsidP="008F5F25">
            <w:pPr>
              <w:spacing w:after="0" w:line="240" w:lineRule="auto"/>
              <w:jc w:val="center"/>
              <w:rPr>
                <w:rFonts w:asciiTheme="minorHAnsi" w:eastAsia="Times New Roman" w:hAnsiTheme="minorHAnsi" w:cstheme="minorHAnsi"/>
                <w:b/>
                <w:bCs/>
                <w:color w:val="000000"/>
                <w:sz w:val="18"/>
                <w:szCs w:val="18"/>
                <w:lang w:eastAsia="es-MX"/>
              </w:rPr>
            </w:pPr>
            <w:r w:rsidRPr="002150BE">
              <w:rPr>
                <w:rFonts w:asciiTheme="minorHAnsi" w:eastAsia="Times New Roman" w:hAnsiTheme="minorHAnsi" w:cstheme="minorHAnsi"/>
                <w:b/>
                <w:bCs/>
                <w:color w:val="000000"/>
                <w:sz w:val="18"/>
                <w:szCs w:val="18"/>
                <w:lang w:eastAsia="es-MX"/>
              </w:rPr>
              <w:t>X</w:t>
            </w:r>
          </w:p>
        </w:tc>
        <w:tc>
          <w:tcPr>
            <w:tcW w:w="0" w:type="auto"/>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804669" w14:textId="77777777" w:rsidR="00760976" w:rsidRPr="002150BE" w:rsidRDefault="008F5F25" w:rsidP="008F5F25">
            <w:pPr>
              <w:spacing w:after="0" w:line="240" w:lineRule="auto"/>
              <w:jc w:val="center"/>
              <w:rPr>
                <w:rFonts w:asciiTheme="minorHAnsi" w:eastAsia="Times New Roman" w:hAnsiTheme="minorHAnsi" w:cstheme="minorHAnsi"/>
                <w:b/>
                <w:bCs/>
                <w:color w:val="000000"/>
                <w:sz w:val="18"/>
                <w:szCs w:val="18"/>
                <w:lang w:eastAsia="es-MX"/>
              </w:rPr>
            </w:pPr>
            <w:r w:rsidRPr="002150BE">
              <w:rPr>
                <w:rFonts w:asciiTheme="minorHAnsi" w:eastAsia="Times New Roman" w:hAnsiTheme="minorHAnsi" w:cstheme="minorHAnsi"/>
                <w:b/>
                <w:bCs/>
                <w:color w:val="000000"/>
                <w:sz w:val="18"/>
                <w:szCs w:val="18"/>
                <w:lang w:eastAsia="es-MX"/>
              </w:rPr>
              <w:t>X</w:t>
            </w:r>
          </w:p>
        </w:tc>
      </w:tr>
      <w:tr w:rsidR="00760976" w:rsidRPr="002150BE" w14:paraId="3EA28C7F" w14:textId="77777777" w:rsidTr="000A4BBB">
        <w:trPr>
          <w:trHeight w:val="434"/>
        </w:trPr>
        <w:tc>
          <w:tcPr>
            <w:tcW w:w="0" w:type="auto"/>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noWrap/>
            <w:vAlign w:val="center"/>
            <w:hideMark/>
          </w:tcPr>
          <w:p w14:paraId="326DE857" w14:textId="77777777" w:rsidR="00760976" w:rsidRPr="002150BE" w:rsidRDefault="00760976" w:rsidP="00760976">
            <w:pPr>
              <w:spacing w:after="0" w:line="240" w:lineRule="auto"/>
              <w:jc w:val="center"/>
              <w:rPr>
                <w:rFonts w:asciiTheme="minorHAnsi" w:eastAsia="Times New Roman" w:hAnsiTheme="minorHAnsi" w:cstheme="minorHAnsi"/>
                <w:b/>
                <w:bCs/>
                <w:sz w:val="18"/>
                <w:szCs w:val="18"/>
                <w:lang w:eastAsia="es-MX"/>
              </w:rPr>
            </w:pPr>
            <w:r w:rsidRPr="002150BE">
              <w:rPr>
                <w:rFonts w:asciiTheme="minorHAnsi" w:eastAsia="Times New Roman" w:hAnsiTheme="minorHAnsi" w:cstheme="minorHAnsi"/>
                <w:b/>
                <w:bCs/>
                <w:sz w:val="18"/>
                <w:szCs w:val="18"/>
                <w:lang w:eastAsia="es-MX"/>
              </w:rPr>
              <w:t>ODS</w:t>
            </w:r>
          </w:p>
        </w:tc>
        <w:tc>
          <w:tcPr>
            <w:tcW w:w="0" w:type="auto"/>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noWrap/>
            <w:vAlign w:val="center"/>
            <w:hideMark/>
          </w:tcPr>
          <w:p w14:paraId="3D772274" w14:textId="77777777" w:rsidR="00760976" w:rsidRPr="002150BE" w:rsidRDefault="00760976" w:rsidP="00760976">
            <w:pPr>
              <w:spacing w:after="0" w:line="240" w:lineRule="auto"/>
              <w:jc w:val="center"/>
              <w:rPr>
                <w:rFonts w:asciiTheme="minorHAnsi" w:eastAsia="Times New Roman" w:hAnsiTheme="minorHAnsi" w:cstheme="minorHAnsi"/>
                <w:b/>
                <w:bCs/>
                <w:sz w:val="18"/>
                <w:szCs w:val="18"/>
                <w:lang w:eastAsia="es-MX"/>
              </w:rPr>
            </w:pPr>
            <w:r w:rsidRPr="002150BE">
              <w:rPr>
                <w:rFonts w:asciiTheme="minorHAnsi" w:eastAsia="Times New Roman" w:hAnsiTheme="minorHAnsi" w:cstheme="minorHAnsi"/>
                <w:b/>
                <w:bCs/>
                <w:sz w:val="18"/>
                <w:szCs w:val="18"/>
                <w:lang w:eastAsia="es-MX"/>
              </w:rPr>
              <w:t>Meta</w:t>
            </w:r>
          </w:p>
        </w:tc>
        <w:tc>
          <w:tcPr>
            <w:tcW w:w="3355"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1E71959B" w14:textId="77777777" w:rsidR="00760976" w:rsidRPr="002150BE" w:rsidRDefault="00760976" w:rsidP="00760976">
            <w:pPr>
              <w:spacing w:after="0" w:line="240" w:lineRule="auto"/>
              <w:jc w:val="center"/>
              <w:rPr>
                <w:rFonts w:asciiTheme="minorHAnsi" w:eastAsia="Times New Roman" w:hAnsiTheme="minorHAnsi" w:cstheme="minorHAnsi"/>
                <w:b/>
                <w:bCs/>
                <w:sz w:val="18"/>
                <w:szCs w:val="18"/>
                <w:lang w:eastAsia="es-MX"/>
              </w:rPr>
            </w:pPr>
            <w:r w:rsidRPr="002150BE">
              <w:rPr>
                <w:rFonts w:asciiTheme="minorHAnsi" w:eastAsia="Times New Roman" w:hAnsiTheme="minorHAnsi" w:cstheme="minorHAnsi"/>
                <w:b/>
                <w:bCs/>
                <w:sz w:val="18"/>
                <w:szCs w:val="18"/>
                <w:lang w:eastAsia="es-MX"/>
              </w:rPr>
              <w:t>Vinculación</w:t>
            </w:r>
          </w:p>
        </w:tc>
        <w:tc>
          <w:tcPr>
            <w:tcW w:w="2312"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06853082" w14:textId="77777777" w:rsidR="00760976" w:rsidRPr="002150BE" w:rsidRDefault="00760976" w:rsidP="00760976">
            <w:pPr>
              <w:spacing w:after="0" w:line="240" w:lineRule="auto"/>
              <w:jc w:val="center"/>
              <w:rPr>
                <w:rFonts w:asciiTheme="minorHAnsi" w:eastAsia="Times New Roman" w:hAnsiTheme="minorHAnsi" w:cstheme="minorHAnsi"/>
                <w:b/>
                <w:bCs/>
                <w:sz w:val="18"/>
                <w:szCs w:val="18"/>
                <w:lang w:eastAsia="es-MX"/>
              </w:rPr>
            </w:pPr>
            <w:r w:rsidRPr="002150BE">
              <w:rPr>
                <w:rFonts w:asciiTheme="minorHAnsi" w:eastAsia="Times New Roman" w:hAnsiTheme="minorHAnsi" w:cstheme="minorHAnsi"/>
                <w:b/>
                <w:bCs/>
                <w:sz w:val="18"/>
                <w:szCs w:val="18"/>
                <w:lang w:eastAsia="es-MX"/>
              </w:rPr>
              <w:t>Justificación de la propuesta (instancia evaluadora)</w:t>
            </w:r>
          </w:p>
        </w:tc>
      </w:tr>
      <w:tr w:rsidR="00760976" w:rsidRPr="002150BE" w14:paraId="7C486328" w14:textId="77777777" w:rsidTr="000A4BBB">
        <w:trPr>
          <w:trHeight w:val="434"/>
        </w:trPr>
        <w:tc>
          <w:tcPr>
            <w:tcW w:w="0" w:type="auto"/>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7CF4B07C" w14:textId="77777777" w:rsidR="00760976" w:rsidRPr="002150BE" w:rsidRDefault="00760976" w:rsidP="00760976">
            <w:pPr>
              <w:spacing w:after="0" w:line="240" w:lineRule="auto"/>
              <w:jc w:val="center"/>
              <w:rPr>
                <w:rFonts w:asciiTheme="minorHAnsi" w:eastAsia="Times New Roman" w:hAnsiTheme="minorHAnsi" w:cstheme="minorHAnsi"/>
                <w:sz w:val="18"/>
                <w:szCs w:val="18"/>
                <w:lang w:eastAsia="es-MX"/>
              </w:rPr>
            </w:pPr>
            <w:r w:rsidRPr="002150BE">
              <w:rPr>
                <w:rFonts w:asciiTheme="minorHAnsi" w:eastAsia="Times New Roman" w:hAnsiTheme="minorHAnsi" w:cstheme="minorHAnsi"/>
                <w:sz w:val="18"/>
                <w:szCs w:val="18"/>
                <w:lang w:eastAsia="es-MX"/>
              </w:rPr>
              <w:t> </w:t>
            </w:r>
            <w:r w:rsidR="008F5F25" w:rsidRPr="002150BE">
              <w:rPr>
                <w:rFonts w:asciiTheme="minorHAnsi" w:eastAsia="Times New Roman" w:hAnsiTheme="minorHAnsi" w:cstheme="minorHAnsi"/>
                <w:sz w:val="18"/>
                <w:szCs w:val="18"/>
                <w:lang w:eastAsia="es-MX"/>
              </w:rPr>
              <w:t>ODS 4. Educación de calidad</w:t>
            </w:r>
          </w:p>
        </w:tc>
        <w:tc>
          <w:tcPr>
            <w:tcW w:w="0" w:type="auto"/>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522388C5" w14:textId="77777777" w:rsidR="00760976" w:rsidRPr="002150BE" w:rsidRDefault="00760976" w:rsidP="00760976">
            <w:pPr>
              <w:spacing w:after="0" w:line="240" w:lineRule="auto"/>
              <w:jc w:val="center"/>
              <w:rPr>
                <w:rFonts w:asciiTheme="minorHAnsi" w:eastAsia="Times New Roman" w:hAnsiTheme="minorHAnsi" w:cstheme="minorHAnsi"/>
                <w:sz w:val="18"/>
                <w:szCs w:val="18"/>
                <w:lang w:eastAsia="es-MX"/>
              </w:rPr>
            </w:pPr>
            <w:r w:rsidRPr="002150BE">
              <w:rPr>
                <w:rFonts w:asciiTheme="minorHAnsi" w:eastAsia="Times New Roman" w:hAnsiTheme="minorHAnsi" w:cstheme="minorHAnsi"/>
                <w:sz w:val="18"/>
                <w:szCs w:val="18"/>
                <w:lang w:eastAsia="es-MX"/>
              </w:rPr>
              <w:t> </w:t>
            </w:r>
            <w:r w:rsidR="008F5F25" w:rsidRPr="002150BE">
              <w:rPr>
                <w:rFonts w:asciiTheme="minorHAnsi" w:eastAsia="Times New Roman" w:hAnsiTheme="minorHAnsi" w:cstheme="minorHAnsi"/>
                <w:sz w:val="18"/>
                <w:szCs w:val="18"/>
                <w:lang w:eastAsia="es-MX"/>
              </w:rPr>
              <w:t>4.a – Construir y adecuar instalaciones educativas inclusivas y seguras que favorezcan el aprendizaje (laboratorios, TIC, accesibilidad, etc.).</w:t>
            </w:r>
          </w:p>
        </w:tc>
        <w:tc>
          <w:tcPr>
            <w:tcW w:w="3355"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3842D3FF" w14:textId="77777777" w:rsidR="00760976" w:rsidRPr="002150BE" w:rsidRDefault="00760976" w:rsidP="00760976">
            <w:pPr>
              <w:spacing w:after="0" w:line="240" w:lineRule="auto"/>
              <w:jc w:val="center"/>
              <w:rPr>
                <w:rFonts w:asciiTheme="minorHAnsi" w:eastAsia="Times New Roman" w:hAnsiTheme="minorHAnsi" w:cstheme="minorHAnsi"/>
                <w:sz w:val="18"/>
                <w:szCs w:val="18"/>
                <w:lang w:eastAsia="es-MX"/>
              </w:rPr>
            </w:pPr>
            <w:r w:rsidRPr="002150BE">
              <w:rPr>
                <w:rFonts w:asciiTheme="minorHAnsi" w:eastAsia="Times New Roman" w:hAnsiTheme="minorHAnsi" w:cstheme="minorHAnsi"/>
                <w:sz w:val="18"/>
                <w:szCs w:val="18"/>
                <w:lang w:eastAsia="es-MX"/>
              </w:rPr>
              <w:t> </w:t>
            </w:r>
            <w:r w:rsidR="008F5F25" w:rsidRPr="002150BE">
              <w:rPr>
                <w:rFonts w:asciiTheme="minorHAnsi" w:eastAsia="Times New Roman" w:hAnsiTheme="minorHAnsi" w:cstheme="minorHAnsi"/>
                <w:sz w:val="18"/>
                <w:szCs w:val="18"/>
                <w:lang w:eastAsia="es-MX"/>
              </w:rPr>
              <w:t>Directa</w:t>
            </w:r>
          </w:p>
        </w:tc>
        <w:tc>
          <w:tcPr>
            <w:tcW w:w="2312"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6CB9CB9" w14:textId="77777777" w:rsidR="00760976" w:rsidRPr="002150BE" w:rsidRDefault="008F5F25" w:rsidP="00760976">
            <w:pPr>
              <w:spacing w:after="0" w:line="240" w:lineRule="auto"/>
              <w:jc w:val="center"/>
              <w:rPr>
                <w:rFonts w:asciiTheme="minorHAnsi" w:eastAsia="Times New Roman" w:hAnsiTheme="minorHAnsi" w:cstheme="minorHAnsi"/>
                <w:sz w:val="18"/>
                <w:szCs w:val="18"/>
                <w:lang w:eastAsia="es-MX"/>
              </w:rPr>
            </w:pPr>
            <w:r w:rsidRPr="002150BE">
              <w:rPr>
                <w:rFonts w:asciiTheme="minorHAnsi" w:eastAsia="Times New Roman" w:hAnsiTheme="minorHAnsi" w:cstheme="minorHAnsi"/>
                <w:sz w:val="18"/>
                <w:szCs w:val="18"/>
                <w:lang w:eastAsia="es-MX"/>
              </w:rPr>
              <w:t>El Pp financia y opera infraestructura académica (aulas, laboratorios especializados, biblioteca, centros de cómputo, English Lab y espacios BIS) que mejora las condiciones materiales para el aprendizaje y la inclusión, en línea con la meta 4.a. La inversión estatal y las gestiones de la UTC para equipamiento y mantenimiento de laboratorios son parte central de la implementación del Pp.</w:t>
            </w:r>
            <w:r w:rsidR="00760976" w:rsidRPr="002150BE">
              <w:rPr>
                <w:rFonts w:asciiTheme="minorHAnsi" w:eastAsia="Times New Roman" w:hAnsiTheme="minorHAnsi" w:cstheme="minorHAnsi"/>
                <w:sz w:val="18"/>
                <w:szCs w:val="18"/>
                <w:lang w:eastAsia="es-MX"/>
              </w:rPr>
              <w:t> </w:t>
            </w:r>
          </w:p>
        </w:tc>
      </w:tr>
      <w:tr w:rsidR="008F5F25" w:rsidRPr="002150BE" w14:paraId="3D356C0E" w14:textId="77777777" w:rsidTr="000A4BBB">
        <w:trPr>
          <w:trHeight w:val="434"/>
        </w:trPr>
        <w:tc>
          <w:tcPr>
            <w:tcW w:w="0" w:type="auto"/>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001102C6" w14:textId="77777777" w:rsidR="008F5F25" w:rsidRPr="002150BE" w:rsidRDefault="008F5F25" w:rsidP="00760976">
            <w:pPr>
              <w:spacing w:after="0" w:line="240" w:lineRule="auto"/>
              <w:jc w:val="center"/>
              <w:rPr>
                <w:rFonts w:asciiTheme="minorHAnsi" w:eastAsia="Times New Roman" w:hAnsiTheme="minorHAnsi" w:cstheme="minorHAnsi"/>
                <w:sz w:val="18"/>
                <w:szCs w:val="18"/>
                <w:lang w:eastAsia="es-MX"/>
              </w:rPr>
            </w:pPr>
            <w:r w:rsidRPr="002150BE">
              <w:rPr>
                <w:rFonts w:asciiTheme="minorHAnsi" w:eastAsia="Times New Roman" w:hAnsiTheme="minorHAnsi" w:cstheme="minorHAnsi"/>
                <w:sz w:val="18"/>
                <w:szCs w:val="18"/>
                <w:lang w:eastAsia="es-MX"/>
              </w:rPr>
              <w:t>ODS 5. Igualdad de género</w:t>
            </w:r>
          </w:p>
        </w:tc>
        <w:tc>
          <w:tcPr>
            <w:tcW w:w="0" w:type="auto"/>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27A4288B" w14:textId="77777777" w:rsidR="008F5F25" w:rsidRPr="002150BE" w:rsidRDefault="008F5F25" w:rsidP="00760976">
            <w:pPr>
              <w:spacing w:after="0" w:line="240" w:lineRule="auto"/>
              <w:jc w:val="center"/>
              <w:rPr>
                <w:rFonts w:asciiTheme="minorHAnsi" w:eastAsia="Times New Roman" w:hAnsiTheme="minorHAnsi" w:cstheme="minorHAnsi"/>
                <w:sz w:val="18"/>
                <w:szCs w:val="18"/>
                <w:lang w:eastAsia="es-MX"/>
              </w:rPr>
            </w:pPr>
            <w:r w:rsidRPr="002150BE">
              <w:rPr>
                <w:rFonts w:asciiTheme="minorHAnsi" w:eastAsia="Times New Roman" w:hAnsiTheme="minorHAnsi" w:cstheme="minorHAnsi"/>
                <w:sz w:val="18"/>
                <w:szCs w:val="18"/>
                <w:lang w:eastAsia="es-MX"/>
              </w:rPr>
              <w:t>5.1 y 5.c – Eliminar todas las formas de discriminación contra mujeres y niñas; aprobar y fortalecer políticas y legislación para la igualdad de género.</w:t>
            </w:r>
          </w:p>
        </w:tc>
        <w:tc>
          <w:tcPr>
            <w:tcW w:w="3355"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5FB42254" w14:textId="77777777" w:rsidR="008F5F25" w:rsidRPr="002150BE" w:rsidRDefault="008F5F25" w:rsidP="00760976">
            <w:pPr>
              <w:spacing w:after="0" w:line="240" w:lineRule="auto"/>
              <w:jc w:val="center"/>
              <w:rPr>
                <w:rFonts w:asciiTheme="minorHAnsi" w:eastAsia="Times New Roman" w:hAnsiTheme="minorHAnsi" w:cstheme="minorHAnsi"/>
                <w:sz w:val="18"/>
                <w:szCs w:val="18"/>
                <w:lang w:eastAsia="es-MX"/>
              </w:rPr>
            </w:pPr>
            <w:r w:rsidRPr="002150BE">
              <w:rPr>
                <w:rFonts w:asciiTheme="minorHAnsi" w:eastAsia="Times New Roman" w:hAnsiTheme="minorHAnsi" w:cstheme="minorHAnsi"/>
                <w:sz w:val="18"/>
                <w:szCs w:val="18"/>
                <w:lang w:eastAsia="es-MX"/>
              </w:rPr>
              <w:t>Indirecta</w:t>
            </w:r>
          </w:p>
        </w:tc>
        <w:tc>
          <w:tcPr>
            <w:tcW w:w="2312"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95E315" w14:textId="77777777" w:rsidR="008F5F25" w:rsidRPr="002150BE" w:rsidRDefault="008F5F25" w:rsidP="00760976">
            <w:pPr>
              <w:spacing w:after="0" w:line="240" w:lineRule="auto"/>
              <w:jc w:val="center"/>
              <w:rPr>
                <w:rFonts w:asciiTheme="minorHAnsi" w:eastAsia="Times New Roman" w:hAnsiTheme="minorHAnsi" w:cstheme="minorHAnsi"/>
                <w:sz w:val="18"/>
                <w:szCs w:val="18"/>
                <w:lang w:eastAsia="es-MX"/>
              </w:rPr>
            </w:pPr>
            <w:r w:rsidRPr="002150BE">
              <w:rPr>
                <w:rFonts w:asciiTheme="minorHAnsi" w:eastAsia="Times New Roman" w:hAnsiTheme="minorHAnsi" w:cstheme="minorHAnsi"/>
                <w:sz w:val="18"/>
                <w:szCs w:val="18"/>
                <w:lang w:eastAsia="es-MX"/>
              </w:rPr>
              <w:t>Los procesos de admisión, permanencia y titulación de la UTC se rigen por principios de igualdad de trato y no discriminación; además, se otorgan becas internas y exoneraciones de colegiatura que, en la práctica, benefician de forma importante a mujeres en situación de vulnerabilidad. Aunque el enfoque de género no está plenamente institucionalizado en la MIR, el Pp crea condiciones para reducir barreras económicas y normativas que afectan de manera desproporcionada a las mujeres. Se recomienda avanzar hacia indicadores con PEG y un registro explícito del presupuesto destinado a mujeres (vinculable al Anexo 43).</w:t>
            </w:r>
          </w:p>
        </w:tc>
      </w:tr>
      <w:tr w:rsidR="008F5F25" w:rsidRPr="002150BE" w14:paraId="78E46E1A" w14:textId="77777777" w:rsidTr="000A4BBB">
        <w:trPr>
          <w:trHeight w:val="434"/>
        </w:trPr>
        <w:tc>
          <w:tcPr>
            <w:tcW w:w="0" w:type="auto"/>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457F1D3E" w14:textId="77777777" w:rsidR="008F5F25" w:rsidRPr="002150BE" w:rsidRDefault="008F5F25" w:rsidP="00760976">
            <w:pPr>
              <w:spacing w:after="0" w:line="240" w:lineRule="auto"/>
              <w:jc w:val="center"/>
              <w:rPr>
                <w:rFonts w:asciiTheme="minorHAnsi" w:eastAsia="Times New Roman" w:hAnsiTheme="minorHAnsi" w:cstheme="minorHAnsi"/>
                <w:sz w:val="18"/>
                <w:szCs w:val="18"/>
                <w:lang w:eastAsia="es-MX"/>
              </w:rPr>
            </w:pPr>
            <w:r w:rsidRPr="002150BE">
              <w:rPr>
                <w:rFonts w:asciiTheme="minorHAnsi" w:eastAsia="Times New Roman" w:hAnsiTheme="minorHAnsi" w:cstheme="minorHAnsi"/>
                <w:sz w:val="18"/>
                <w:szCs w:val="18"/>
                <w:lang w:eastAsia="es-MX"/>
              </w:rPr>
              <w:t>ODS 8. Trabajo decente y crecimiento económico</w:t>
            </w:r>
          </w:p>
        </w:tc>
        <w:tc>
          <w:tcPr>
            <w:tcW w:w="0" w:type="auto"/>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3891AA4B" w14:textId="77777777" w:rsidR="008F5F25" w:rsidRPr="002150BE" w:rsidRDefault="008F5F25" w:rsidP="00760976">
            <w:pPr>
              <w:spacing w:after="0" w:line="240" w:lineRule="auto"/>
              <w:jc w:val="center"/>
              <w:rPr>
                <w:rFonts w:asciiTheme="minorHAnsi" w:eastAsia="Times New Roman" w:hAnsiTheme="minorHAnsi" w:cstheme="minorHAnsi"/>
                <w:sz w:val="18"/>
                <w:szCs w:val="18"/>
                <w:lang w:eastAsia="es-MX"/>
              </w:rPr>
            </w:pPr>
            <w:r w:rsidRPr="002150BE">
              <w:rPr>
                <w:rFonts w:asciiTheme="minorHAnsi" w:eastAsia="Times New Roman" w:hAnsiTheme="minorHAnsi" w:cstheme="minorHAnsi"/>
                <w:sz w:val="18"/>
                <w:szCs w:val="18"/>
                <w:lang w:eastAsia="es-MX"/>
              </w:rPr>
              <w:t>8.5 – Lograr el empleo pleno y productivo y el trabajo decente para todas las mujeres y los hombres, incluidos los jóvenes.</w:t>
            </w:r>
          </w:p>
        </w:tc>
        <w:tc>
          <w:tcPr>
            <w:tcW w:w="3355"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473EBFC2" w14:textId="77777777" w:rsidR="008F5F25" w:rsidRPr="002150BE" w:rsidRDefault="008F5F25" w:rsidP="00760976">
            <w:pPr>
              <w:spacing w:after="0" w:line="240" w:lineRule="auto"/>
              <w:jc w:val="center"/>
              <w:rPr>
                <w:rFonts w:asciiTheme="minorHAnsi" w:eastAsia="Times New Roman" w:hAnsiTheme="minorHAnsi" w:cstheme="minorHAnsi"/>
                <w:sz w:val="18"/>
                <w:szCs w:val="18"/>
                <w:lang w:eastAsia="es-MX"/>
              </w:rPr>
            </w:pPr>
            <w:r w:rsidRPr="002150BE">
              <w:rPr>
                <w:rFonts w:asciiTheme="minorHAnsi" w:eastAsia="Times New Roman" w:hAnsiTheme="minorHAnsi" w:cstheme="minorHAnsi"/>
                <w:sz w:val="18"/>
                <w:szCs w:val="18"/>
                <w:lang w:eastAsia="es-MX"/>
              </w:rPr>
              <w:t>Indirecta</w:t>
            </w:r>
          </w:p>
        </w:tc>
        <w:tc>
          <w:tcPr>
            <w:tcW w:w="2312"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4F5E60" w14:textId="77777777" w:rsidR="008F5F25" w:rsidRPr="002150BE" w:rsidRDefault="008F5F25" w:rsidP="00760976">
            <w:pPr>
              <w:spacing w:after="0" w:line="240" w:lineRule="auto"/>
              <w:jc w:val="center"/>
              <w:rPr>
                <w:rFonts w:asciiTheme="minorHAnsi" w:eastAsia="Times New Roman" w:hAnsiTheme="minorHAnsi" w:cstheme="minorHAnsi"/>
                <w:sz w:val="18"/>
                <w:szCs w:val="18"/>
                <w:lang w:eastAsia="es-MX"/>
              </w:rPr>
            </w:pPr>
            <w:r w:rsidRPr="002150BE">
              <w:rPr>
                <w:rFonts w:asciiTheme="minorHAnsi" w:eastAsia="Times New Roman" w:hAnsiTheme="minorHAnsi" w:cstheme="minorHAnsi"/>
                <w:sz w:val="18"/>
                <w:szCs w:val="18"/>
                <w:lang w:eastAsia="es-MX"/>
              </w:rPr>
              <w:t>A través de estadías profesionales, convenios con empresas, seguimiento de egresados y fortalecimiento de competencias técnicas y bilingües, el Pp mejora las probabilidades de inserción laboral en empleos formales y productivos para sus personas egresadas. Aunque la MIR sólo consigna explícitamente la meta 8.6, la operación real del Pp es coherente también con la meta 8.5.</w:t>
            </w:r>
          </w:p>
        </w:tc>
      </w:tr>
      <w:tr w:rsidR="008F5F25" w:rsidRPr="002150BE" w14:paraId="02428080" w14:textId="77777777" w:rsidTr="000A4BBB">
        <w:trPr>
          <w:trHeight w:val="434"/>
        </w:trPr>
        <w:tc>
          <w:tcPr>
            <w:tcW w:w="0" w:type="auto"/>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6E60C47E" w14:textId="77777777" w:rsidR="008F5F25" w:rsidRPr="002150BE" w:rsidRDefault="008F5F25" w:rsidP="00760976">
            <w:pPr>
              <w:spacing w:after="0" w:line="240" w:lineRule="auto"/>
              <w:jc w:val="center"/>
              <w:rPr>
                <w:rFonts w:asciiTheme="minorHAnsi" w:eastAsia="Times New Roman" w:hAnsiTheme="minorHAnsi" w:cstheme="minorHAnsi"/>
                <w:sz w:val="18"/>
                <w:szCs w:val="18"/>
                <w:lang w:eastAsia="es-MX"/>
              </w:rPr>
            </w:pPr>
            <w:r w:rsidRPr="002150BE">
              <w:rPr>
                <w:rFonts w:asciiTheme="minorHAnsi" w:eastAsia="Times New Roman" w:hAnsiTheme="minorHAnsi" w:cstheme="minorHAnsi"/>
                <w:sz w:val="18"/>
                <w:szCs w:val="18"/>
                <w:lang w:eastAsia="es-MX"/>
              </w:rPr>
              <w:t>ODS 10. Reducción de las desigualdades</w:t>
            </w:r>
          </w:p>
        </w:tc>
        <w:tc>
          <w:tcPr>
            <w:tcW w:w="0" w:type="auto"/>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115F0917" w14:textId="77777777" w:rsidR="008F5F25" w:rsidRPr="002150BE" w:rsidRDefault="008F5F25" w:rsidP="00760976">
            <w:pPr>
              <w:spacing w:after="0" w:line="240" w:lineRule="auto"/>
              <w:jc w:val="center"/>
              <w:rPr>
                <w:rFonts w:asciiTheme="minorHAnsi" w:eastAsia="Times New Roman" w:hAnsiTheme="minorHAnsi" w:cstheme="minorHAnsi"/>
                <w:sz w:val="18"/>
                <w:szCs w:val="18"/>
                <w:lang w:eastAsia="es-MX"/>
              </w:rPr>
            </w:pPr>
            <w:r w:rsidRPr="002150BE">
              <w:rPr>
                <w:rFonts w:asciiTheme="minorHAnsi" w:eastAsia="Times New Roman" w:hAnsiTheme="minorHAnsi" w:cstheme="minorHAnsi"/>
                <w:sz w:val="18"/>
                <w:szCs w:val="18"/>
                <w:lang w:eastAsia="es-MX"/>
              </w:rPr>
              <w:t xml:space="preserve">10.2 – Potenciar y promover la inclusión social, económica y </w:t>
            </w:r>
            <w:r w:rsidRPr="002150BE">
              <w:rPr>
                <w:rFonts w:asciiTheme="minorHAnsi" w:eastAsia="Times New Roman" w:hAnsiTheme="minorHAnsi" w:cstheme="minorHAnsi"/>
                <w:sz w:val="18"/>
                <w:szCs w:val="18"/>
                <w:lang w:eastAsia="es-MX"/>
              </w:rPr>
              <w:lastRenderedPageBreak/>
              <w:t>política de todas las personas, independientemente de su condición.</w:t>
            </w:r>
          </w:p>
        </w:tc>
        <w:tc>
          <w:tcPr>
            <w:tcW w:w="3355"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05EC7FD1" w14:textId="77777777" w:rsidR="008F5F25" w:rsidRPr="002150BE" w:rsidRDefault="008F5F25" w:rsidP="00760976">
            <w:pPr>
              <w:spacing w:after="0" w:line="240" w:lineRule="auto"/>
              <w:jc w:val="center"/>
              <w:rPr>
                <w:rFonts w:asciiTheme="minorHAnsi" w:eastAsia="Times New Roman" w:hAnsiTheme="minorHAnsi" w:cstheme="minorHAnsi"/>
                <w:sz w:val="18"/>
                <w:szCs w:val="18"/>
                <w:lang w:eastAsia="es-MX"/>
              </w:rPr>
            </w:pPr>
            <w:r w:rsidRPr="002150BE">
              <w:rPr>
                <w:rFonts w:asciiTheme="minorHAnsi" w:eastAsia="Times New Roman" w:hAnsiTheme="minorHAnsi" w:cstheme="minorHAnsi"/>
                <w:sz w:val="18"/>
                <w:szCs w:val="18"/>
                <w:lang w:eastAsia="es-MX"/>
              </w:rPr>
              <w:lastRenderedPageBreak/>
              <w:t>Indirecta</w:t>
            </w:r>
          </w:p>
        </w:tc>
        <w:tc>
          <w:tcPr>
            <w:tcW w:w="2312"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F01AD7" w14:textId="77777777" w:rsidR="008F5F25" w:rsidRPr="002150BE" w:rsidRDefault="008F5F25" w:rsidP="00760976">
            <w:pPr>
              <w:spacing w:after="0" w:line="240" w:lineRule="auto"/>
              <w:jc w:val="center"/>
              <w:rPr>
                <w:rFonts w:asciiTheme="minorHAnsi" w:eastAsia="Times New Roman" w:hAnsiTheme="minorHAnsi" w:cstheme="minorHAnsi"/>
                <w:sz w:val="18"/>
                <w:szCs w:val="18"/>
                <w:lang w:eastAsia="es-MX"/>
              </w:rPr>
            </w:pPr>
            <w:r w:rsidRPr="002150BE">
              <w:rPr>
                <w:rFonts w:asciiTheme="minorHAnsi" w:eastAsia="Times New Roman" w:hAnsiTheme="minorHAnsi" w:cstheme="minorHAnsi"/>
                <w:sz w:val="18"/>
                <w:szCs w:val="18"/>
                <w:lang w:eastAsia="es-MX"/>
              </w:rPr>
              <w:t xml:space="preserve">Las becas internas, la atención tutorial, la flexibilidad de </w:t>
            </w:r>
            <w:r w:rsidRPr="002150BE">
              <w:rPr>
                <w:rFonts w:asciiTheme="minorHAnsi" w:eastAsia="Times New Roman" w:hAnsiTheme="minorHAnsi" w:cstheme="minorHAnsi"/>
                <w:sz w:val="18"/>
                <w:szCs w:val="18"/>
                <w:lang w:eastAsia="es-MX"/>
              </w:rPr>
              <w:lastRenderedPageBreak/>
              <w:t>trayectorias y los mecanismos de acompañamiento académico favorecen la permanencia de estudiantes de contextos socioeconómicos diversos, reduciendo brechas de acceso y conclusión de estudios superiores en el área de influencia de la UTC. La acción del Pp contribuye así a la inclusión educativa como base de inclusión social y económica.</w:t>
            </w:r>
          </w:p>
        </w:tc>
      </w:tr>
      <w:tr w:rsidR="008F5F25" w:rsidRPr="002150BE" w14:paraId="2A62CAC8" w14:textId="77777777" w:rsidTr="000A4BBB">
        <w:trPr>
          <w:trHeight w:val="434"/>
        </w:trPr>
        <w:tc>
          <w:tcPr>
            <w:tcW w:w="0" w:type="auto"/>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4C487289" w14:textId="77777777" w:rsidR="008F5F25" w:rsidRPr="002150BE" w:rsidRDefault="008F5F25" w:rsidP="00760976">
            <w:pPr>
              <w:spacing w:after="0" w:line="240" w:lineRule="auto"/>
              <w:jc w:val="center"/>
              <w:rPr>
                <w:rFonts w:asciiTheme="minorHAnsi" w:eastAsia="Times New Roman" w:hAnsiTheme="minorHAnsi" w:cstheme="minorHAnsi"/>
                <w:sz w:val="18"/>
                <w:szCs w:val="18"/>
                <w:lang w:eastAsia="es-MX"/>
              </w:rPr>
            </w:pPr>
            <w:r w:rsidRPr="002150BE">
              <w:rPr>
                <w:rFonts w:asciiTheme="minorHAnsi" w:eastAsia="Times New Roman" w:hAnsiTheme="minorHAnsi" w:cstheme="minorHAnsi"/>
                <w:sz w:val="18"/>
                <w:szCs w:val="18"/>
                <w:lang w:eastAsia="es-MX"/>
              </w:rPr>
              <w:lastRenderedPageBreak/>
              <w:t>ODS 12. Producción y consumo responsables</w:t>
            </w:r>
          </w:p>
        </w:tc>
        <w:tc>
          <w:tcPr>
            <w:tcW w:w="0" w:type="auto"/>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125EC8EB" w14:textId="77777777" w:rsidR="008F5F25" w:rsidRPr="002150BE" w:rsidRDefault="008F5F25" w:rsidP="00760976">
            <w:pPr>
              <w:spacing w:after="0" w:line="240" w:lineRule="auto"/>
              <w:jc w:val="center"/>
              <w:rPr>
                <w:rFonts w:asciiTheme="minorHAnsi" w:eastAsia="Times New Roman" w:hAnsiTheme="minorHAnsi" w:cstheme="minorHAnsi"/>
                <w:sz w:val="18"/>
                <w:szCs w:val="18"/>
                <w:lang w:eastAsia="es-MX"/>
              </w:rPr>
            </w:pPr>
            <w:r w:rsidRPr="002150BE">
              <w:rPr>
                <w:rFonts w:asciiTheme="minorHAnsi" w:eastAsia="Times New Roman" w:hAnsiTheme="minorHAnsi" w:cstheme="minorHAnsi"/>
                <w:sz w:val="18"/>
                <w:szCs w:val="18"/>
                <w:lang w:eastAsia="es-MX"/>
              </w:rPr>
              <w:t>12.8 – Garantizar que las personas tengan información y conocimientos pertinentes para el desarrollo sostenible y estilos de vida en armonía con la naturaleza.</w:t>
            </w:r>
          </w:p>
        </w:tc>
        <w:tc>
          <w:tcPr>
            <w:tcW w:w="3355"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594E8D00" w14:textId="77777777" w:rsidR="008F5F25" w:rsidRPr="002150BE" w:rsidRDefault="008F5F25" w:rsidP="00760976">
            <w:pPr>
              <w:spacing w:after="0" w:line="240" w:lineRule="auto"/>
              <w:jc w:val="center"/>
              <w:rPr>
                <w:rFonts w:asciiTheme="minorHAnsi" w:eastAsia="Times New Roman" w:hAnsiTheme="minorHAnsi" w:cstheme="minorHAnsi"/>
                <w:sz w:val="18"/>
                <w:szCs w:val="18"/>
                <w:lang w:eastAsia="es-MX"/>
              </w:rPr>
            </w:pPr>
            <w:r w:rsidRPr="002150BE">
              <w:rPr>
                <w:rFonts w:asciiTheme="minorHAnsi" w:eastAsia="Times New Roman" w:hAnsiTheme="minorHAnsi" w:cstheme="minorHAnsi"/>
                <w:sz w:val="18"/>
                <w:szCs w:val="18"/>
                <w:lang w:eastAsia="es-MX"/>
              </w:rPr>
              <w:t>Indirecta</w:t>
            </w:r>
          </w:p>
        </w:tc>
        <w:tc>
          <w:tcPr>
            <w:tcW w:w="2312"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842A98" w14:textId="77777777" w:rsidR="008F5F25" w:rsidRPr="002150BE" w:rsidRDefault="008F5F25" w:rsidP="00760976">
            <w:pPr>
              <w:spacing w:after="0" w:line="240" w:lineRule="auto"/>
              <w:jc w:val="center"/>
              <w:rPr>
                <w:rFonts w:asciiTheme="minorHAnsi" w:eastAsia="Times New Roman" w:hAnsiTheme="minorHAnsi" w:cstheme="minorHAnsi"/>
                <w:sz w:val="18"/>
                <w:szCs w:val="18"/>
                <w:lang w:eastAsia="es-MX"/>
              </w:rPr>
            </w:pPr>
            <w:r w:rsidRPr="002150BE">
              <w:rPr>
                <w:rFonts w:asciiTheme="minorHAnsi" w:eastAsia="Times New Roman" w:hAnsiTheme="minorHAnsi" w:cstheme="minorHAnsi"/>
                <w:sz w:val="18"/>
                <w:szCs w:val="18"/>
                <w:lang w:eastAsia="es-MX"/>
              </w:rPr>
              <w:t>El componente “Sustentable” del modelo BIS, la orientación de algunos PE (p. ej. ambientales, agroalimentarios) y las actividades de sensibilización sobre uso responsable de recursos incorporan contenidos y prácticas de desarrollo sostenible, consumo responsable y cuidado del medio ambiente. Esto aporta a la formación de competencias y valores acordes con la meta 12.8.</w:t>
            </w:r>
          </w:p>
        </w:tc>
      </w:tr>
      <w:tr w:rsidR="008F5F25" w:rsidRPr="002150BE" w14:paraId="3B6C8035" w14:textId="77777777" w:rsidTr="000A4BBB">
        <w:trPr>
          <w:trHeight w:val="434"/>
        </w:trPr>
        <w:tc>
          <w:tcPr>
            <w:tcW w:w="0" w:type="auto"/>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2B0A3206" w14:textId="77777777" w:rsidR="008F5F25" w:rsidRPr="002150BE" w:rsidRDefault="008F5F25" w:rsidP="00760976">
            <w:pPr>
              <w:spacing w:after="0" w:line="240" w:lineRule="auto"/>
              <w:jc w:val="center"/>
              <w:rPr>
                <w:rFonts w:asciiTheme="minorHAnsi" w:eastAsia="Times New Roman" w:hAnsiTheme="minorHAnsi" w:cstheme="minorHAnsi"/>
                <w:sz w:val="18"/>
                <w:szCs w:val="18"/>
                <w:lang w:eastAsia="es-MX"/>
              </w:rPr>
            </w:pPr>
            <w:r w:rsidRPr="002150BE">
              <w:rPr>
                <w:rFonts w:asciiTheme="minorHAnsi" w:eastAsia="Times New Roman" w:hAnsiTheme="minorHAnsi" w:cstheme="minorHAnsi"/>
                <w:sz w:val="18"/>
                <w:szCs w:val="18"/>
                <w:lang w:eastAsia="es-MX"/>
              </w:rPr>
              <w:t>ODS 16. Paz, justicia e instituciones sólidas</w:t>
            </w:r>
          </w:p>
        </w:tc>
        <w:tc>
          <w:tcPr>
            <w:tcW w:w="0" w:type="auto"/>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412DE214" w14:textId="77777777" w:rsidR="008F5F25" w:rsidRPr="002150BE" w:rsidRDefault="008F5F25" w:rsidP="00760976">
            <w:pPr>
              <w:spacing w:after="0" w:line="240" w:lineRule="auto"/>
              <w:jc w:val="center"/>
              <w:rPr>
                <w:rFonts w:asciiTheme="minorHAnsi" w:eastAsia="Times New Roman" w:hAnsiTheme="minorHAnsi" w:cstheme="minorHAnsi"/>
                <w:sz w:val="18"/>
                <w:szCs w:val="18"/>
                <w:lang w:eastAsia="es-MX"/>
              </w:rPr>
            </w:pPr>
            <w:r w:rsidRPr="002150BE">
              <w:rPr>
                <w:rFonts w:asciiTheme="minorHAnsi" w:eastAsia="Times New Roman" w:hAnsiTheme="minorHAnsi" w:cstheme="minorHAnsi"/>
                <w:sz w:val="18"/>
                <w:szCs w:val="18"/>
                <w:lang w:eastAsia="es-MX"/>
              </w:rPr>
              <w:t>16.6 – Crear instituciones eficaces, responsables y transparentes que rindan cuentas.</w:t>
            </w:r>
          </w:p>
        </w:tc>
        <w:tc>
          <w:tcPr>
            <w:tcW w:w="3355"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1846E133" w14:textId="77777777" w:rsidR="008F5F25" w:rsidRPr="002150BE" w:rsidRDefault="008F5F25" w:rsidP="00760976">
            <w:pPr>
              <w:spacing w:after="0" w:line="240" w:lineRule="auto"/>
              <w:jc w:val="center"/>
              <w:rPr>
                <w:rFonts w:asciiTheme="minorHAnsi" w:eastAsia="Times New Roman" w:hAnsiTheme="minorHAnsi" w:cstheme="minorHAnsi"/>
                <w:sz w:val="18"/>
                <w:szCs w:val="18"/>
                <w:lang w:eastAsia="es-MX"/>
              </w:rPr>
            </w:pPr>
            <w:r w:rsidRPr="002150BE">
              <w:rPr>
                <w:rFonts w:asciiTheme="minorHAnsi" w:eastAsia="Times New Roman" w:hAnsiTheme="minorHAnsi" w:cstheme="minorHAnsi"/>
                <w:sz w:val="18"/>
                <w:szCs w:val="18"/>
                <w:lang w:eastAsia="es-MX"/>
              </w:rPr>
              <w:t>Indirecta</w:t>
            </w:r>
          </w:p>
        </w:tc>
        <w:tc>
          <w:tcPr>
            <w:tcW w:w="2312"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3A2363" w14:textId="77777777" w:rsidR="008F5F25" w:rsidRPr="002150BE" w:rsidRDefault="008F5F25" w:rsidP="00760976">
            <w:pPr>
              <w:spacing w:after="0" w:line="240" w:lineRule="auto"/>
              <w:jc w:val="center"/>
              <w:rPr>
                <w:rFonts w:asciiTheme="minorHAnsi" w:eastAsia="Times New Roman" w:hAnsiTheme="minorHAnsi" w:cstheme="minorHAnsi"/>
                <w:sz w:val="18"/>
                <w:szCs w:val="18"/>
                <w:lang w:eastAsia="es-MX"/>
              </w:rPr>
            </w:pPr>
            <w:r w:rsidRPr="002150BE">
              <w:rPr>
                <w:rFonts w:asciiTheme="minorHAnsi" w:eastAsia="Times New Roman" w:hAnsiTheme="minorHAnsi" w:cstheme="minorHAnsi"/>
                <w:sz w:val="18"/>
                <w:szCs w:val="18"/>
                <w:lang w:eastAsia="es-MX"/>
              </w:rPr>
              <w:t>El Pp se ejecuta en una universidad pública que rinde cuentas mediante informes de gestión, reportes financieros, publicación de normatividad y atención a solicitudes de información. La operación con enfoque de mejora continua, auditorías externas y evaluación del desempeño se alinea con la construcción de instituciones más eficaces y transparentes.</w:t>
            </w:r>
          </w:p>
        </w:tc>
      </w:tr>
      <w:tr w:rsidR="003622C2" w:rsidRPr="002150BE" w14:paraId="16E6B1BD" w14:textId="77777777" w:rsidTr="000A4BBB">
        <w:trPr>
          <w:trHeight w:val="434"/>
        </w:trPr>
        <w:tc>
          <w:tcPr>
            <w:tcW w:w="0" w:type="auto"/>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4C7F32D1" w14:textId="77777777" w:rsidR="003622C2" w:rsidRPr="002150BE" w:rsidRDefault="003622C2" w:rsidP="003622C2">
            <w:pPr>
              <w:spacing w:after="0" w:line="240" w:lineRule="auto"/>
              <w:jc w:val="center"/>
              <w:rPr>
                <w:rFonts w:asciiTheme="minorHAnsi" w:eastAsia="Times New Roman" w:hAnsiTheme="minorHAnsi" w:cstheme="minorHAnsi"/>
                <w:sz w:val="18"/>
                <w:szCs w:val="18"/>
                <w:lang w:eastAsia="es-MX"/>
              </w:rPr>
            </w:pPr>
            <w:r w:rsidRPr="002150BE">
              <w:rPr>
                <w:rFonts w:asciiTheme="minorHAnsi" w:eastAsia="Times New Roman" w:hAnsiTheme="minorHAnsi" w:cstheme="minorHAnsi"/>
                <w:sz w:val="18"/>
                <w:szCs w:val="18"/>
                <w:lang w:eastAsia="es-MX"/>
              </w:rPr>
              <w:t>ODS 17. Alianzas para lograr los objetivos</w:t>
            </w:r>
          </w:p>
        </w:tc>
        <w:tc>
          <w:tcPr>
            <w:tcW w:w="0" w:type="auto"/>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46CD534B" w14:textId="77777777" w:rsidR="003622C2" w:rsidRPr="002150BE" w:rsidRDefault="003622C2" w:rsidP="003622C2">
            <w:pPr>
              <w:spacing w:after="0" w:line="240" w:lineRule="auto"/>
              <w:jc w:val="center"/>
              <w:rPr>
                <w:rFonts w:asciiTheme="minorHAnsi" w:eastAsia="Times New Roman" w:hAnsiTheme="minorHAnsi" w:cstheme="minorHAnsi"/>
                <w:sz w:val="18"/>
                <w:szCs w:val="18"/>
                <w:lang w:eastAsia="es-MX"/>
              </w:rPr>
            </w:pPr>
            <w:r w:rsidRPr="002150BE">
              <w:rPr>
                <w:rFonts w:asciiTheme="minorHAnsi" w:eastAsia="Times New Roman" w:hAnsiTheme="minorHAnsi" w:cstheme="minorHAnsi"/>
                <w:sz w:val="18"/>
                <w:szCs w:val="18"/>
                <w:lang w:eastAsia="es-MX"/>
              </w:rPr>
              <w:t>17.17 – Fomentar alianzas eficaces entre los sectores público, privado y de la sociedad civil.</w:t>
            </w:r>
          </w:p>
        </w:tc>
        <w:tc>
          <w:tcPr>
            <w:tcW w:w="3355"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4E013624" w14:textId="77777777" w:rsidR="003622C2" w:rsidRPr="002150BE" w:rsidRDefault="003622C2" w:rsidP="003622C2">
            <w:pPr>
              <w:spacing w:after="0" w:line="240" w:lineRule="auto"/>
              <w:jc w:val="center"/>
              <w:rPr>
                <w:rFonts w:asciiTheme="minorHAnsi" w:eastAsia="Times New Roman" w:hAnsiTheme="minorHAnsi" w:cstheme="minorHAnsi"/>
                <w:sz w:val="18"/>
                <w:szCs w:val="18"/>
                <w:lang w:eastAsia="es-MX"/>
              </w:rPr>
            </w:pPr>
            <w:r w:rsidRPr="002150BE">
              <w:rPr>
                <w:rFonts w:asciiTheme="minorHAnsi" w:eastAsia="Times New Roman" w:hAnsiTheme="minorHAnsi" w:cstheme="minorHAnsi"/>
                <w:sz w:val="18"/>
                <w:szCs w:val="18"/>
                <w:lang w:eastAsia="es-MX"/>
              </w:rPr>
              <w:t>Indirecta</w:t>
            </w:r>
          </w:p>
        </w:tc>
        <w:tc>
          <w:tcPr>
            <w:tcW w:w="2312"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86F160" w14:textId="77777777" w:rsidR="003622C2" w:rsidRPr="002150BE" w:rsidRDefault="003622C2" w:rsidP="003622C2">
            <w:pPr>
              <w:spacing w:after="0" w:line="240" w:lineRule="auto"/>
              <w:jc w:val="center"/>
              <w:rPr>
                <w:rFonts w:asciiTheme="minorHAnsi" w:eastAsia="Times New Roman" w:hAnsiTheme="minorHAnsi" w:cstheme="minorHAnsi"/>
                <w:sz w:val="18"/>
                <w:szCs w:val="18"/>
                <w:lang w:eastAsia="es-MX"/>
              </w:rPr>
            </w:pPr>
            <w:r w:rsidRPr="002150BE">
              <w:rPr>
                <w:rFonts w:asciiTheme="minorHAnsi" w:eastAsia="Times New Roman" w:hAnsiTheme="minorHAnsi" w:cstheme="minorHAnsi"/>
                <w:sz w:val="18"/>
                <w:szCs w:val="18"/>
                <w:lang w:eastAsia="es-MX"/>
              </w:rPr>
              <w:t>El Consejo de Vinculación y Pertinencia, los convenios con empresas y organismos públicos, la colaboración con la DGUTyP y con otras IES para proyectos académicos y de investigación son un componente estructural del Pp. Estas alianzas permiten ampliar cobertura, mejorar pertinencia y fortalecer resultados, en concordancia con la meta 17.17.</w:t>
            </w:r>
          </w:p>
        </w:tc>
      </w:tr>
    </w:tbl>
    <w:p w14:paraId="159B5A59" w14:textId="0EA0F959" w:rsidR="00587B73" w:rsidRPr="002150BE" w:rsidRDefault="00587B73">
      <w:pPr>
        <w:spacing w:line="276" w:lineRule="auto"/>
        <w:jc w:val="left"/>
        <w:rPr>
          <w:rFonts w:asciiTheme="minorHAnsi" w:hAnsiTheme="minorHAnsi" w:cstheme="minorHAnsi"/>
          <w:lang w:val="es-ES"/>
        </w:rPr>
      </w:pPr>
    </w:p>
    <w:p w14:paraId="7E08170F" w14:textId="176983E0" w:rsidR="00095F09" w:rsidRDefault="00095F09">
      <w:pPr>
        <w:spacing w:line="276" w:lineRule="auto"/>
        <w:jc w:val="left"/>
        <w:rPr>
          <w:rFonts w:asciiTheme="minorHAnsi" w:hAnsiTheme="minorHAnsi" w:cstheme="minorHAnsi"/>
          <w:lang w:val="es-ES"/>
        </w:rPr>
      </w:pPr>
    </w:p>
    <w:p w14:paraId="651E79D6" w14:textId="77777777" w:rsidR="007332FE" w:rsidRPr="002150BE" w:rsidRDefault="007332FE">
      <w:pPr>
        <w:spacing w:line="276" w:lineRule="auto"/>
        <w:jc w:val="left"/>
        <w:rPr>
          <w:rFonts w:asciiTheme="minorHAnsi" w:hAnsiTheme="minorHAnsi" w:cstheme="minorHAnsi"/>
          <w:lang w:val="es-ES"/>
        </w:rPr>
      </w:pPr>
    </w:p>
    <w:tbl>
      <w:tblPr>
        <w:tblW w:w="9631" w:type="dxa"/>
        <w:tblInd w:w="-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4A0" w:firstRow="1" w:lastRow="0" w:firstColumn="1" w:lastColumn="0" w:noHBand="0" w:noVBand="1"/>
      </w:tblPr>
      <w:tblGrid>
        <w:gridCol w:w="529"/>
        <w:gridCol w:w="752"/>
        <w:gridCol w:w="1134"/>
        <w:gridCol w:w="992"/>
        <w:gridCol w:w="709"/>
        <w:gridCol w:w="567"/>
        <w:gridCol w:w="338"/>
        <w:gridCol w:w="87"/>
        <w:gridCol w:w="426"/>
        <w:gridCol w:w="567"/>
        <w:gridCol w:w="73"/>
        <w:gridCol w:w="635"/>
        <w:gridCol w:w="426"/>
        <w:gridCol w:w="425"/>
        <w:gridCol w:w="567"/>
        <w:gridCol w:w="251"/>
        <w:gridCol w:w="1153"/>
      </w:tblGrid>
      <w:tr w:rsidR="00587B73" w:rsidRPr="002150BE" w14:paraId="219BEC44" w14:textId="77777777" w:rsidTr="00A8251B">
        <w:trPr>
          <w:trHeight w:val="340"/>
          <w:tblHeader/>
        </w:trPr>
        <w:tc>
          <w:tcPr>
            <w:tcW w:w="9631" w:type="dxa"/>
            <w:gridSpan w:val="17"/>
            <w:shd w:val="clear" w:color="auto" w:fill="404040" w:themeFill="text1" w:themeFillTint="BF"/>
            <w:vAlign w:val="center"/>
            <w:hideMark/>
          </w:tcPr>
          <w:p w14:paraId="03E5CAA6" w14:textId="77777777" w:rsidR="00587B73" w:rsidRPr="002150BE" w:rsidRDefault="00587B73" w:rsidP="00587B73">
            <w:pPr>
              <w:spacing w:after="0" w:line="240" w:lineRule="auto"/>
              <w:jc w:val="center"/>
              <w:rPr>
                <w:rFonts w:asciiTheme="minorHAnsi" w:hAnsiTheme="minorHAnsi" w:cstheme="minorHAnsi"/>
                <w:lang w:eastAsia="es-MX"/>
              </w:rPr>
            </w:pPr>
            <w:r w:rsidRPr="002150BE">
              <w:rPr>
                <w:rFonts w:asciiTheme="minorHAnsi" w:hAnsiTheme="minorHAnsi" w:cstheme="minorHAnsi"/>
                <w:b/>
                <w:color w:val="FFFFFF" w:themeColor="background1"/>
                <w:lang w:eastAsia="es-MX"/>
              </w:rPr>
              <w:lastRenderedPageBreak/>
              <w:t>Anexo</w:t>
            </w:r>
            <w:r w:rsidR="0040360B" w:rsidRPr="002150BE">
              <w:rPr>
                <w:rFonts w:asciiTheme="minorHAnsi" w:hAnsiTheme="minorHAnsi" w:cstheme="minorHAnsi"/>
                <w:b/>
                <w:color w:val="FFFFFF" w:themeColor="background1"/>
                <w:lang w:eastAsia="es-MX"/>
              </w:rPr>
              <w:t xml:space="preserve"> 11</w:t>
            </w:r>
            <w:r w:rsidRPr="002150BE">
              <w:rPr>
                <w:rFonts w:asciiTheme="minorHAnsi" w:hAnsiTheme="minorHAnsi" w:cstheme="minorHAnsi"/>
                <w:b/>
                <w:color w:val="FFFFFF" w:themeColor="background1"/>
                <w:lang w:eastAsia="es-MX"/>
              </w:rPr>
              <w:t>. Instrumentos de Seguimiento del Desempeño</w:t>
            </w:r>
          </w:p>
        </w:tc>
      </w:tr>
      <w:tr w:rsidR="00587B73" w:rsidRPr="002150BE" w14:paraId="63C656EE" w14:textId="77777777" w:rsidTr="00A8251B">
        <w:trPr>
          <w:trHeight w:val="370"/>
        </w:trPr>
        <w:tc>
          <w:tcPr>
            <w:tcW w:w="9631" w:type="dxa"/>
            <w:gridSpan w:val="17"/>
            <w:shd w:val="clear" w:color="auto" w:fill="7F7F7F" w:themeFill="text1" w:themeFillTint="80"/>
            <w:noWrap/>
            <w:vAlign w:val="center"/>
            <w:hideMark/>
          </w:tcPr>
          <w:p w14:paraId="27397EE8" w14:textId="77777777" w:rsidR="00587B73" w:rsidRPr="002150BE" w:rsidRDefault="00587B73" w:rsidP="00587B73">
            <w:pPr>
              <w:spacing w:after="0" w:line="240" w:lineRule="auto"/>
              <w:jc w:val="center"/>
              <w:rPr>
                <w:rFonts w:asciiTheme="minorHAnsi" w:hAnsiTheme="minorHAnsi" w:cstheme="minorHAnsi"/>
                <w:b/>
                <w:color w:val="FFFFFF" w:themeColor="background1"/>
                <w:sz w:val="18"/>
                <w:szCs w:val="18"/>
                <w:lang w:eastAsia="es-MX"/>
              </w:rPr>
            </w:pPr>
            <w:r w:rsidRPr="002150BE">
              <w:rPr>
                <w:rFonts w:asciiTheme="minorHAnsi" w:hAnsiTheme="minorHAnsi" w:cstheme="minorHAnsi"/>
                <w:b/>
                <w:color w:val="FFFFFF" w:themeColor="background1"/>
                <w:sz w:val="18"/>
                <w:szCs w:val="18"/>
                <w:lang w:eastAsia="es-MX"/>
              </w:rPr>
              <w:t>Características del Instrumento de Seguimiento del Desempeño</w:t>
            </w:r>
          </w:p>
        </w:tc>
      </w:tr>
      <w:tr w:rsidR="00C51640" w:rsidRPr="002150BE" w14:paraId="58A28125" w14:textId="77777777" w:rsidTr="003C4A56">
        <w:trPr>
          <w:trHeight w:val="705"/>
        </w:trPr>
        <w:tc>
          <w:tcPr>
            <w:tcW w:w="1281" w:type="dxa"/>
            <w:gridSpan w:val="2"/>
            <w:shd w:val="clear" w:color="auto" w:fill="D9D9D9" w:themeFill="background1" w:themeFillShade="D9"/>
            <w:vAlign w:val="center"/>
            <w:hideMark/>
          </w:tcPr>
          <w:p w14:paraId="4B01E1B2" w14:textId="77777777" w:rsidR="00587B73" w:rsidRPr="002150BE" w:rsidRDefault="00587B73" w:rsidP="00587B73">
            <w:pPr>
              <w:spacing w:after="0" w:line="240" w:lineRule="auto"/>
              <w:jc w:val="center"/>
              <w:rPr>
                <w:rFonts w:asciiTheme="minorHAnsi" w:hAnsiTheme="minorHAnsi" w:cstheme="minorHAnsi"/>
                <w:b/>
                <w:color w:val="000000"/>
                <w:sz w:val="15"/>
                <w:szCs w:val="15"/>
                <w:lang w:eastAsia="es-MX"/>
              </w:rPr>
            </w:pPr>
            <w:r w:rsidRPr="002150BE">
              <w:rPr>
                <w:rFonts w:asciiTheme="minorHAnsi" w:hAnsiTheme="minorHAnsi" w:cstheme="minorHAnsi"/>
                <w:b/>
                <w:color w:val="000000"/>
                <w:sz w:val="15"/>
                <w:szCs w:val="15"/>
                <w:lang w:eastAsia="es-MX"/>
              </w:rPr>
              <w:t>Criterio</w:t>
            </w:r>
          </w:p>
        </w:tc>
        <w:tc>
          <w:tcPr>
            <w:tcW w:w="1134" w:type="dxa"/>
            <w:shd w:val="clear" w:color="auto" w:fill="D9D9D9" w:themeFill="background1" w:themeFillShade="D9"/>
            <w:vAlign w:val="center"/>
            <w:hideMark/>
          </w:tcPr>
          <w:p w14:paraId="223C3F76" w14:textId="77777777" w:rsidR="00587B73" w:rsidRPr="002150BE" w:rsidRDefault="00587B73" w:rsidP="00587B73">
            <w:pPr>
              <w:spacing w:after="0" w:line="240" w:lineRule="auto"/>
              <w:jc w:val="center"/>
              <w:rPr>
                <w:rFonts w:asciiTheme="minorHAnsi" w:hAnsiTheme="minorHAnsi" w:cstheme="minorHAnsi"/>
                <w:b/>
                <w:color w:val="3A3838"/>
                <w:sz w:val="13"/>
                <w:szCs w:val="15"/>
                <w:lang w:eastAsia="es-MX"/>
              </w:rPr>
            </w:pPr>
            <w:r w:rsidRPr="002150BE">
              <w:rPr>
                <w:rFonts w:asciiTheme="minorHAnsi" w:hAnsiTheme="minorHAnsi" w:cstheme="minorHAnsi"/>
                <w:b/>
                <w:color w:val="3A3838"/>
                <w:sz w:val="13"/>
                <w:szCs w:val="15"/>
                <w:lang w:eastAsia="es-MX"/>
              </w:rPr>
              <w:t>Respuesta</w:t>
            </w:r>
          </w:p>
        </w:tc>
        <w:tc>
          <w:tcPr>
            <w:tcW w:w="992" w:type="dxa"/>
            <w:shd w:val="clear" w:color="auto" w:fill="D9D9D9" w:themeFill="background1" w:themeFillShade="D9"/>
            <w:vAlign w:val="center"/>
            <w:hideMark/>
          </w:tcPr>
          <w:p w14:paraId="7C5B4484" w14:textId="77777777" w:rsidR="00587B73" w:rsidRPr="002150BE" w:rsidRDefault="00587B73" w:rsidP="00587B73">
            <w:pPr>
              <w:spacing w:after="0" w:line="240" w:lineRule="auto"/>
              <w:jc w:val="center"/>
              <w:rPr>
                <w:rFonts w:asciiTheme="minorHAnsi" w:hAnsiTheme="minorHAnsi" w:cstheme="minorHAnsi"/>
                <w:b/>
                <w:color w:val="3A3838"/>
                <w:sz w:val="13"/>
                <w:szCs w:val="15"/>
                <w:lang w:eastAsia="es-MX"/>
              </w:rPr>
            </w:pPr>
            <w:r w:rsidRPr="002150BE">
              <w:rPr>
                <w:rFonts w:asciiTheme="minorHAnsi" w:hAnsiTheme="minorHAnsi" w:cstheme="minorHAnsi"/>
                <w:b/>
                <w:color w:val="3A3838"/>
                <w:sz w:val="13"/>
                <w:szCs w:val="15"/>
                <w:lang w:eastAsia="es-MX"/>
              </w:rPr>
              <w:t>Nombre del indicador</w:t>
            </w:r>
          </w:p>
        </w:tc>
        <w:tc>
          <w:tcPr>
            <w:tcW w:w="709" w:type="dxa"/>
            <w:shd w:val="clear" w:color="auto" w:fill="D9D9D9" w:themeFill="background1" w:themeFillShade="D9"/>
            <w:vAlign w:val="center"/>
            <w:hideMark/>
          </w:tcPr>
          <w:p w14:paraId="54607410" w14:textId="77777777" w:rsidR="00587B73" w:rsidRPr="002150BE" w:rsidRDefault="00587B73" w:rsidP="00587B73">
            <w:pPr>
              <w:spacing w:after="0" w:line="240" w:lineRule="auto"/>
              <w:jc w:val="center"/>
              <w:rPr>
                <w:rFonts w:asciiTheme="minorHAnsi" w:hAnsiTheme="minorHAnsi" w:cstheme="minorHAnsi"/>
                <w:b/>
                <w:color w:val="3A3838"/>
                <w:sz w:val="13"/>
                <w:szCs w:val="15"/>
                <w:lang w:eastAsia="es-MX"/>
              </w:rPr>
            </w:pPr>
            <w:r w:rsidRPr="002150BE">
              <w:rPr>
                <w:rFonts w:asciiTheme="minorHAnsi" w:hAnsiTheme="minorHAnsi" w:cstheme="minorHAnsi"/>
                <w:b/>
                <w:color w:val="3A3838"/>
                <w:sz w:val="13"/>
                <w:szCs w:val="15"/>
                <w:lang w:eastAsia="es-MX"/>
              </w:rPr>
              <w:t>Definición</w:t>
            </w:r>
          </w:p>
        </w:tc>
        <w:tc>
          <w:tcPr>
            <w:tcW w:w="992" w:type="dxa"/>
            <w:gridSpan w:val="3"/>
            <w:shd w:val="clear" w:color="auto" w:fill="D9D9D9" w:themeFill="background1" w:themeFillShade="D9"/>
            <w:vAlign w:val="center"/>
            <w:hideMark/>
          </w:tcPr>
          <w:p w14:paraId="13516A40" w14:textId="77777777" w:rsidR="00587B73" w:rsidRPr="002150BE" w:rsidRDefault="00587B73" w:rsidP="00587B73">
            <w:pPr>
              <w:spacing w:after="0" w:line="240" w:lineRule="auto"/>
              <w:jc w:val="center"/>
              <w:rPr>
                <w:rFonts w:asciiTheme="minorHAnsi" w:hAnsiTheme="minorHAnsi" w:cstheme="minorHAnsi"/>
                <w:b/>
                <w:color w:val="3A3838"/>
                <w:sz w:val="13"/>
                <w:szCs w:val="15"/>
                <w:lang w:eastAsia="es-MX"/>
              </w:rPr>
            </w:pPr>
            <w:r w:rsidRPr="002150BE">
              <w:rPr>
                <w:rFonts w:asciiTheme="minorHAnsi" w:hAnsiTheme="minorHAnsi" w:cstheme="minorHAnsi"/>
                <w:b/>
                <w:color w:val="3A3838"/>
                <w:sz w:val="13"/>
                <w:szCs w:val="15"/>
                <w:lang w:eastAsia="es-MX"/>
              </w:rPr>
              <w:t>Método de cálculo</w:t>
            </w:r>
          </w:p>
        </w:tc>
        <w:tc>
          <w:tcPr>
            <w:tcW w:w="993" w:type="dxa"/>
            <w:gridSpan w:val="2"/>
            <w:shd w:val="clear" w:color="auto" w:fill="D9D9D9" w:themeFill="background1" w:themeFillShade="D9"/>
            <w:vAlign w:val="center"/>
            <w:hideMark/>
          </w:tcPr>
          <w:p w14:paraId="3565C3F6" w14:textId="77777777" w:rsidR="00587B73" w:rsidRPr="002150BE" w:rsidRDefault="00587B73" w:rsidP="00587B73">
            <w:pPr>
              <w:spacing w:after="0" w:line="240" w:lineRule="auto"/>
              <w:jc w:val="center"/>
              <w:rPr>
                <w:rFonts w:asciiTheme="minorHAnsi" w:hAnsiTheme="minorHAnsi" w:cstheme="minorHAnsi"/>
                <w:b/>
                <w:color w:val="3A3838"/>
                <w:sz w:val="13"/>
                <w:szCs w:val="15"/>
                <w:lang w:eastAsia="es-MX"/>
              </w:rPr>
            </w:pPr>
            <w:r w:rsidRPr="002150BE">
              <w:rPr>
                <w:rFonts w:asciiTheme="minorHAnsi" w:hAnsiTheme="minorHAnsi" w:cstheme="minorHAnsi"/>
                <w:b/>
                <w:color w:val="3A3838"/>
                <w:sz w:val="13"/>
                <w:szCs w:val="15"/>
                <w:lang w:eastAsia="es-MX"/>
              </w:rPr>
              <w:t>Unidad de medida</w:t>
            </w:r>
          </w:p>
        </w:tc>
        <w:tc>
          <w:tcPr>
            <w:tcW w:w="708" w:type="dxa"/>
            <w:gridSpan w:val="2"/>
            <w:shd w:val="clear" w:color="auto" w:fill="D9D9D9" w:themeFill="background1" w:themeFillShade="D9"/>
            <w:vAlign w:val="center"/>
            <w:hideMark/>
          </w:tcPr>
          <w:p w14:paraId="1C1B7C60" w14:textId="77777777" w:rsidR="00587B73" w:rsidRPr="002150BE" w:rsidRDefault="00587B73" w:rsidP="00587B73">
            <w:pPr>
              <w:spacing w:after="0" w:line="240" w:lineRule="auto"/>
              <w:jc w:val="center"/>
              <w:rPr>
                <w:rFonts w:asciiTheme="minorHAnsi" w:hAnsiTheme="minorHAnsi" w:cstheme="minorHAnsi"/>
                <w:b/>
                <w:color w:val="3A3838"/>
                <w:sz w:val="13"/>
                <w:szCs w:val="15"/>
                <w:lang w:eastAsia="es-MX"/>
              </w:rPr>
            </w:pPr>
            <w:r w:rsidRPr="002150BE">
              <w:rPr>
                <w:rFonts w:asciiTheme="minorHAnsi" w:hAnsiTheme="minorHAnsi" w:cstheme="minorHAnsi"/>
                <w:b/>
                <w:color w:val="3A3838"/>
                <w:sz w:val="13"/>
                <w:szCs w:val="15"/>
                <w:lang w:eastAsia="es-MX"/>
              </w:rPr>
              <w:t>Frecuencia de medición</w:t>
            </w:r>
          </w:p>
        </w:tc>
        <w:tc>
          <w:tcPr>
            <w:tcW w:w="851" w:type="dxa"/>
            <w:gridSpan w:val="2"/>
            <w:shd w:val="clear" w:color="auto" w:fill="D9D9D9" w:themeFill="background1" w:themeFillShade="D9"/>
            <w:vAlign w:val="center"/>
            <w:hideMark/>
          </w:tcPr>
          <w:p w14:paraId="657F37B4" w14:textId="77777777" w:rsidR="00587B73" w:rsidRPr="002150BE" w:rsidRDefault="00587B73" w:rsidP="00587B73">
            <w:pPr>
              <w:spacing w:after="0" w:line="240" w:lineRule="auto"/>
              <w:jc w:val="center"/>
              <w:rPr>
                <w:rFonts w:asciiTheme="minorHAnsi" w:hAnsiTheme="minorHAnsi" w:cstheme="minorHAnsi"/>
                <w:b/>
                <w:color w:val="3A3838"/>
                <w:sz w:val="13"/>
                <w:szCs w:val="15"/>
                <w:lang w:eastAsia="es-MX"/>
              </w:rPr>
            </w:pPr>
            <w:r w:rsidRPr="002150BE">
              <w:rPr>
                <w:rFonts w:asciiTheme="minorHAnsi" w:hAnsiTheme="minorHAnsi" w:cstheme="minorHAnsi"/>
                <w:b/>
                <w:color w:val="3A3838"/>
                <w:sz w:val="13"/>
                <w:szCs w:val="15"/>
                <w:lang w:eastAsia="es-MX"/>
              </w:rPr>
              <w:t>Línea base</w:t>
            </w:r>
          </w:p>
        </w:tc>
        <w:tc>
          <w:tcPr>
            <w:tcW w:w="567" w:type="dxa"/>
            <w:shd w:val="clear" w:color="auto" w:fill="D9D9D9" w:themeFill="background1" w:themeFillShade="D9"/>
            <w:vAlign w:val="center"/>
            <w:hideMark/>
          </w:tcPr>
          <w:p w14:paraId="5C88E382" w14:textId="77777777" w:rsidR="00587B73" w:rsidRPr="002150BE" w:rsidRDefault="00587B73" w:rsidP="00587B73">
            <w:pPr>
              <w:spacing w:after="0" w:line="240" w:lineRule="auto"/>
              <w:jc w:val="center"/>
              <w:rPr>
                <w:rFonts w:asciiTheme="minorHAnsi" w:hAnsiTheme="minorHAnsi" w:cstheme="minorHAnsi"/>
                <w:b/>
                <w:color w:val="3A3838"/>
                <w:sz w:val="13"/>
                <w:szCs w:val="15"/>
                <w:lang w:eastAsia="es-MX"/>
              </w:rPr>
            </w:pPr>
            <w:r w:rsidRPr="002150BE">
              <w:rPr>
                <w:rFonts w:asciiTheme="minorHAnsi" w:hAnsiTheme="minorHAnsi" w:cstheme="minorHAnsi"/>
                <w:b/>
                <w:color w:val="3A3838"/>
                <w:sz w:val="13"/>
                <w:szCs w:val="15"/>
                <w:lang w:eastAsia="es-MX"/>
              </w:rPr>
              <w:t>Comportamiento del indicador</w:t>
            </w:r>
          </w:p>
        </w:tc>
        <w:tc>
          <w:tcPr>
            <w:tcW w:w="1404" w:type="dxa"/>
            <w:gridSpan w:val="2"/>
            <w:shd w:val="clear" w:color="auto" w:fill="D9D9D9" w:themeFill="background1" w:themeFillShade="D9"/>
            <w:vAlign w:val="center"/>
            <w:hideMark/>
          </w:tcPr>
          <w:p w14:paraId="0A8CDA61" w14:textId="77777777" w:rsidR="00587B73" w:rsidRPr="002150BE" w:rsidRDefault="00587B73" w:rsidP="00587B73">
            <w:pPr>
              <w:spacing w:after="0" w:line="240" w:lineRule="auto"/>
              <w:jc w:val="center"/>
              <w:rPr>
                <w:rFonts w:asciiTheme="minorHAnsi" w:hAnsiTheme="minorHAnsi" w:cstheme="minorHAnsi"/>
                <w:b/>
                <w:color w:val="3A3838"/>
                <w:sz w:val="13"/>
                <w:szCs w:val="15"/>
                <w:lang w:eastAsia="es-MX"/>
              </w:rPr>
            </w:pPr>
            <w:r w:rsidRPr="002150BE">
              <w:rPr>
                <w:rFonts w:asciiTheme="minorHAnsi" w:hAnsiTheme="minorHAnsi" w:cstheme="minorHAnsi"/>
                <w:b/>
                <w:color w:val="3A3838"/>
                <w:sz w:val="13"/>
                <w:szCs w:val="15"/>
                <w:lang w:eastAsia="es-MX"/>
              </w:rPr>
              <w:t>Parámetro de Semaforización</w:t>
            </w:r>
          </w:p>
        </w:tc>
      </w:tr>
      <w:tr w:rsidR="00587B73" w:rsidRPr="002150BE" w14:paraId="479E16C2" w14:textId="77777777" w:rsidTr="003C4A56">
        <w:trPr>
          <w:trHeight w:val="355"/>
        </w:trPr>
        <w:tc>
          <w:tcPr>
            <w:tcW w:w="1281" w:type="dxa"/>
            <w:gridSpan w:val="2"/>
            <w:shd w:val="clear" w:color="auto" w:fill="D9D9D9" w:themeFill="background1" w:themeFillShade="D9"/>
            <w:vAlign w:val="center"/>
            <w:hideMark/>
          </w:tcPr>
          <w:p w14:paraId="6D415456" w14:textId="77777777" w:rsidR="00587B73" w:rsidRPr="002150BE" w:rsidRDefault="00587B73" w:rsidP="00587B73">
            <w:pPr>
              <w:spacing w:after="0" w:line="240" w:lineRule="auto"/>
              <w:jc w:val="left"/>
              <w:rPr>
                <w:rFonts w:asciiTheme="minorHAnsi" w:hAnsiTheme="minorHAnsi" w:cstheme="minorHAnsi"/>
                <w:color w:val="3A3838"/>
                <w:sz w:val="16"/>
                <w:szCs w:val="16"/>
                <w:lang w:eastAsia="es-MX"/>
              </w:rPr>
            </w:pPr>
            <w:r w:rsidRPr="002150BE">
              <w:rPr>
                <w:rFonts w:asciiTheme="minorHAnsi" w:hAnsiTheme="minorHAnsi" w:cstheme="minorHAnsi"/>
                <w:color w:val="3A3838"/>
                <w:sz w:val="16"/>
                <w:szCs w:val="16"/>
                <w:lang w:eastAsia="es-MX"/>
              </w:rPr>
              <w:t>El cambio producido en la población objetivo derivado de la ejecución del Pp</w:t>
            </w:r>
          </w:p>
        </w:tc>
        <w:tc>
          <w:tcPr>
            <w:tcW w:w="1134" w:type="dxa"/>
            <w:noWrap/>
            <w:vAlign w:val="center"/>
            <w:hideMark/>
          </w:tcPr>
          <w:p w14:paraId="7E4D56A8" w14:textId="44A4BF5C" w:rsidR="00587B73" w:rsidRPr="002150BE" w:rsidRDefault="00587B73" w:rsidP="00587B73">
            <w:pPr>
              <w:spacing w:after="0" w:line="240" w:lineRule="auto"/>
              <w:jc w:val="center"/>
              <w:rPr>
                <w:rFonts w:asciiTheme="minorHAnsi" w:hAnsiTheme="minorHAnsi" w:cstheme="minorHAnsi"/>
                <w:i/>
                <w:iCs/>
                <w:color w:val="3A3838"/>
                <w:sz w:val="16"/>
                <w:szCs w:val="16"/>
                <w:lang w:eastAsia="es-MX"/>
              </w:rPr>
            </w:pPr>
            <w:r w:rsidRPr="002150BE">
              <w:rPr>
                <w:rFonts w:asciiTheme="minorHAnsi" w:hAnsiTheme="minorHAnsi" w:cstheme="minorHAnsi"/>
                <w:i/>
                <w:iCs/>
                <w:color w:val="3A3838"/>
                <w:sz w:val="16"/>
                <w:szCs w:val="16"/>
                <w:lang w:eastAsia="es-MX"/>
              </w:rPr>
              <w:t>Sí</w:t>
            </w:r>
          </w:p>
        </w:tc>
        <w:tc>
          <w:tcPr>
            <w:tcW w:w="992" w:type="dxa"/>
            <w:noWrap/>
            <w:vAlign w:val="center"/>
            <w:hideMark/>
          </w:tcPr>
          <w:p w14:paraId="78026F20" w14:textId="57BFC10B" w:rsidR="00587B73" w:rsidRPr="002150BE" w:rsidRDefault="003E0279" w:rsidP="003E0279">
            <w:pPr>
              <w:spacing w:after="0" w:line="240" w:lineRule="auto"/>
              <w:jc w:val="center"/>
              <w:rPr>
                <w:rFonts w:asciiTheme="minorHAnsi" w:hAnsiTheme="minorHAnsi" w:cstheme="minorHAnsi"/>
                <w:color w:val="3A3838"/>
                <w:sz w:val="16"/>
                <w:szCs w:val="16"/>
                <w:lang w:eastAsia="es-MX"/>
              </w:rPr>
            </w:pPr>
            <w:r w:rsidRPr="002150BE">
              <w:rPr>
                <w:rFonts w:asciiTheme="minorHAnsi" w:hAnsiTheme="minorHAnsi" w:cstheme="minorHAnsi"/>
                <w:color w:val="3A3838"/>
                <w:sz w:val="16"/>
                <w:szCs w:val="16"/>
                <w:lang w:eastAsia="es-MX"/>
              </w:rPr>
              <w:t>Tasa de variación de la esperanza de escolaridad en Sinaloa</w:t>
            </w:r>
          </w:p>
        </w:tc>
        <w:tc>
          <w:tcPr>
            <w:tcW w:w="709" w:type="dxa"/>
            <w:noWrap/>
            <w:vAlign w:val="center"/>
            <w:hideMark/>
          </w:tcPr>
          <w:p w14:paraId="106E27D2" w14:textId="19297897" w:rsidR="00587B73" w:rsidRPr="002150BE" w:rsidRDefault="003E0279" w:rsidP="003E0279">
            <w:pPr>
              <w:spacing w:after="0" w:line="240" w:lineRule="auto"/>
              <w:jc w:val="center"/>
              <w:rPr>
                <w:rFonts w:asciiTheme="minorHAnsi" w:hAnsiTheme="minorHAnsi" w:cstheme="minorHAnsi"/>
                <w:color w:val="3A3838"/>
                <w:sz w:val="16"/>
                <w:szCs w:val="16"/>
                <w:lang w:eastAsia="es-MX"/>
              </w:rPr>
            </w:pPr>
            <w:r w:rsidRPr="002150BE">
              <w:rPr>
                <w:rFonts w:asciiTheme="minorHAnsi" w:hAnsiTheme="minorHAnsi" w:cstheme="minorHAnsi"/>
                <w:color w:val="3A3838"/>
                <w:sz w:val="16"/>
                <w:szCs w:val="16"/>
                <w:lang w:eastAsia="es-MX"/>
              </w:rPr>
              <w:t>Mide el cambio porcentual en la esperanza de escolaridad de la población del estado de Sinaloa entre dos ciclos escolares consecutivos.</w:t>
            </w:r>
          </w:p>
        </w:tc>
        <w:tc>
          <w:tcPr>
            <w:tcW w:w="992" w:type="dxa"/>
            <w:gridSpan w:val="3"/>
            <w:noWrap/>
            <w:vAlign w:val="center"/>
            <w:hideMark/>
          </w:tcPr>
          <w:p w14:paraId="6CFA6D3E" w14:textId="1DC8D461" w:rsidR="00587B73" w:rsidRPr="002150BE" w:rsidRDefault="003E0279" w:rsidP="003E0279">
            <w:pPr>
              <w:spacing w:after="0" w:line="240" w:lineRule="auto"/>
              <w:jc w:val="center"/>
              <w:rPr>
                <w:rFonts w:asciiTheme="minorHAnsi" w:hAnsiTheme="minorHAnsi" w:cstheme="minorHAnsi"/>
                <w:color w:val="3A3838"/>
                <w:sz w:val="16"/>
                <w:szCs w:val="16"/>
                <w:lang w:eastAsia="es-MX"/>
              </w:rPr>
            </w:pPr>
            <w:r w:rsidRPr="002150BE">
              <w:rPr>
                <w:rFonts w:asciiTheme="minorHAnsi" w:hAnsiTheme="minorHAnsi" w:cstheme="minorHAnsi"/>
                <w:color w:val="3A3838"/>
                <w:sz w:val="16"/>
                <w:szCs w:val="16"/>
                <w:lang w:eastAsia="es-MX"/>
              </w:rPr>
              <w:t>(Esperanza de escolaridad en Sinaloa ciclo 2024–2025 – Esperanza de escolaridad ciclo 2023–2024) / Esperanza de escolaridad ciclo 2023–2024 * 100</w:t>
            </w:r>
          </w:p>
        </w:tc>
        <w:tc>
          <w:tcPr>
            <w:tcW w:w="993" w:type="dxa"/>
            <w:gridSpan w:val="2"/>
            <w:noWrap/>
            <w:vAlign w:val="center"/>
            <w:hideMark/>
          </w:tcPr>
          <w:p w14:paraId="5E3DC813" w14:textId="498FC923" w:rsidR="00587B73" w:rsidRPr="002150BE" w:rsidRDefault="003E0279" w:rsidP="00587B73">
            <w:pPr>
              <w:spacing w:after="0" w:line="240" w:lineRule="auto"/>
              <w:jc w:val="center"/>
              <w:rPr>
                <w:rFonts w:asciiTheme="minorHAnsi" w:hAnsiTheme="minorHAnsi" w:cstheme="minorHAnsi"/>
                <w:color w:val="3A3838"/>
                <w:sz w:val="16"/>
                <w:szCs w:val="16"/>
                <w:lang w:eastAsia="es-MX"/>
              </w:rPr>
            </w:pPr>
            <w:r w:rsidRPr="002150BE">
              <w:rPr>
                <w:rFonts w:asciiTheme="minorHAnsi" w:hAnsiTheme="minorHAnsi" w:cstheme="minorHAnsi"/>
                <w:color w:val="3A3838"/>
                <w:sz w:val="16"/>
                <w:szCs w:val="16"/>
                <w:lang w:eastAsia="es-MX"/>
              </w:rPr>
              <w:t>Porcentaje (%)</w:t>
            </w:r>
          </w:p>
        </w:tc>
        <w:tc>
          <w:tcPr>
            <w:tcW w:w="708" w:type="dxa"/>
            <w:gridSpan w:val="2"/>
            <w:noWrap/>
            <w:vAlign w:val="center"/>
            <w:hideMark/>
          </w:tcPr>
          <w:p w14:paraId="0331781E" w14:textId="01951720" w:rsidR="00587B73" w:rsidRPr="002150BE" w:rsidRDefault="003E0279" w:rsidP="00587B73">
            <w:pPr>
              <w:spacing w:after="0" w:line="240" w:lineRule="auto"/>
              <w:jc w:val="center"/>
              <w:rPr>
                <w:rFonts w:asciiTheme="minorHAnsi" w:hAnsiTheme="minorHAnsi" w:cstheme="minorHAnsi"/>
                <w:color w:val="3A3838"/>
                <w:sz w:val="16"/>
                <w:szCs w:val="16"/>
                <w:lang w:eastAsia="es-MX"/>
              </w:rPr>
            </w:pPr>
            <w:r w:rsidRPr="002150BE">
              <w:rPr>
                <w:rFonts w:asciiTheme="minorHAnsi" w:hAnsiTheme="minorHAnsi" w:cstheme="minorHAnsi"/>
                <w:color w:val="3A3838"/>
                <w:sz w:val="16"/>
                <w:szCs w:val="16"/>
                <w:lang w:eastAsia="es-MX"/>
              </w:rPr>
              <w:t>Anual</w:t>
            </w:r>
          </w:p>
        </w:tc>
        <w:tc>
          <w:tcPr>
            <w:tcW w:w="851" w:type="dxa"/>
            <w:gridSpan w:val="2"/>
            <w:noWrap/>
            <w:vAlign w:val="center"/>
            <w:hideMark/>
          </w:tcPr>
          <w:p w14:paraId="1BD9CA01" w14:textId="09EB1F87" w:rsidR="00587B73" w:rsidRPr="002150BE" w:rsidRDefault="003E0279" w:rsidP="00587B73">
            <w:pPr>
              <w:spacing w:after="0" w:line="240" w:lineRule="auto"/>
              <w:jc w:val="center"/>
              <w:rPr>
                <w:rFonts w:asciiTheme="minorHAnsi" w:hAnsiTheme="minorHAnsi" w:cstheme="minorHAnsi"/>
                <w:color w:val="3A3838"/>
                <w:sz w:val="16"/>
                <w:szCs w:val="16"/>
                <w:lang w:eastAsia="es-MX"/>
              </w:rPr>
            </w:pPr>
            <w:r w:rsidRPr="002150BE">
              <w:rPr>
                <w:rFonts w:asciiTheme="minorHAnsi" w:hAnsiTheme="minorHAnsi" w:cstheme="minorHAnsi"/>
                <w:color w:val="3A3838"/>
                <w:sz w:val="16"/>
                <w:szCs w:val="16"/>
                <w:lang w:eastAsia="es-MX"/>
              </w:rPr>
              <w:t>Valor observado en 2023 (según Estadística educativa – Sinaloa, SEP)</w:t>
            </w:r>
          </w:p>
        </w:tc>
        <w:tc>
          <w:tcPr>
            <w:tcW w:w="567" w:type="dxa"/>
            <w:noWrap/>
            <w:vAlign w:val="center"/>
            <w:hideMark/>
          </w:tcPr>
          <w:p w14:paraId="0D273733" w14:textId="5F18915A" w:rsidR="00587B73" w:rsidRPr="002150BE" w:rsidRDefault="003E0279" w:rsidP="00587B73">
            <w:pPr>
              <w:spacing w:after="0" w:line="240" w:lineRule="auto"/>
              <w:jc w:val="center"/>
              <w:rPr>
                <w:rFonts w:asciiTheme="minorHAnsi" w:hAnsiTheme="minorHAnsi" w:cstheme="minorHAnsi"/>
                <w:color w:val="3A3838"/>
                <w:sz w:val="16"/>
                <w:szCs w:val="16"/>
                <w:lang w:eastAsia="es-MX"/>
              </w:rPr>
            </w:pPr>
            <w:r w:rsidRPr="002150BE">
              <w:rPr>
                <w:rFonts w:asciiTheme="minorHAnsi" w:hAnsiTheme="minorHAnsi" w:cstheme="minorHAnsi"/>
                <w:color w:val="3A3838"/>
                <w:sz w:val="16"/>
                <w:szCs w:val="16"/>
                <w:lang w:eastAsia="es-MX"/>
              </w:rPr>
              <w:t>Ascendente (mientras mayor sea la variación positiva, mayor contribución al incremento del nivel educativo)</w:t>
            </w:r>
          </w:p>
        </w:tc>
        <w:tc>
          <w:tcPr>
            <w:tcW w:w="1404" w:type="dxa"/>
            <w:gridSpan w:val="2"/>
            <w:noWrap/>
            <w:vAlign w:val="center"/>
          </w:tcPr>
          <w:p w14:paraId="347D57CD" w14:textId="20C35B48" w:rsidR="00587B73" w:rsidRPr="002150BE" w:rsidRDefault="00587B73" w:rsidP="00587B73">
            <w:pPr>
              <w:spacing w:after="0" w:line="240" w:lineRule="auto"/>
              <w:jc w:val="center"/>
              <w:rPr>
                <w:rFonts w:asciiTheme="minorHAnsi" w:hAnsiTheme="minorHAnsi" w:cstheme="minorHAnsi"/>
                <w:color w:val="3A3838"/>
                <w:sz w:val="16"/>
                <w:szCs w:val="16"/>
                <w:lang w:eastAsia="es-MX"/>
              </w:rPr>
            </w:pPr>
            <w:r w:rsidRPr="002150BE">
              <w:rPr>
                <w:rFonts w:asciiTheme="minorHAnsi" w:hAnsiTheme="minorHAnsi" w:cstheme="minorHAnsi"/>
                <w:i/>
                <w:iCs/>
                <w:color w:val="3A3838"/>
                <w:sz w:val="16"/>
                <w:szCs w:val="16"/>
                <w:lang w:eastAsia="es-MX"/>
              </w:rPr>
              <w:t>Sí</w:t>
            </w:r>
          </w:p>
        </w:tc>
      </w:tr>
      <w:tr w:rsidR="00587B73" w:rsidRPr="002150BE" w14:paraId="64FB736A" w14:textId="77777777" w:rsidTr="003C4A56">
        <w:trPr>
          <w:trHeight w:val="355"/>
        </w:trPr>
        <w:tc>
          <w:tcPr>
            <w:tcW w:w="1281" w:type="dxa"/>
            <w:gridSpan w:val="2"/>
            <w:shd w:val="clear" w:color="auto" w:fill="D9D9D9" w:themeFill="background1" w:themeFillShade="D9"/>
            <w:vAlign w:val="center"/>
            <w:hideMark/>
          </w:tcPr>
          <w:p w14:paraId="16DBEEAA" w14:textId="77777777" w:rsidR="00587B73" w:rsidRPr="002150BE" w:rsidRDefault="00587B73" w:rsidP="00587B73">
            <w:pPr>
              <w:spacing w:after="0" w:line="240" w:lineRule="auto"/>
              <w:jc w:val="left"/>
              <w:rPr>
                <w:rFonts w:asciiTheme="minorHAnsi" w:hAnsiTheme="minorHAnsi" w:cstheme="minorHAnsi"/>
                <w:color w:val="3A3838"/>
                <w:sz w:val="16"/>
                <w:szCs w:val="16"/>
                <w:lang w:eastAsia="es-MX"/>
              </w:rPr>
            </w:pPr>
            <w:r w:rsidRPr="002150BE">
              <w:rPr>
                <w:rFonts w:asciiTheme="minorHAnsi" w:hAnsiTheme="minorHAnsi" w:cstheme="minorHAnsi"/>
                <w:color w:val="3A3838"/>
                <w:sz w:val="16"/>
                <w:szCs w:val="16"/>
                <w:lang w:eastAsia="es-MX"/>
              </w:rPr>
              <w:t>La cobertura de la población objetivo</w:t>
            </w:r>
          </w:p>
        </w:tc>
        <w:tc>
          <w:tcPr>
            <w:tcW w:w="1134" w:type="dxa"/>
            <w:noWrap/>
            <w:vAlign w:val="center"/>
            <w:hideMark/>
          </w:tcPr>
          <w:p w14:paraId="0E5FAF9A" w14:textId="194A0A9F" w:rsidR="00587B73" w:rsidRPr="002150BE" w:rsidRDefault="00587B73" w:rsidP="00587B73">
            <w:pPr>
              <w:spacing w:after="0" w:line="240" w:lineRule="auto"/>
              <w:jc w:val="center"/>
              <w:rPr>
                <w:rFonts w:asciiTheme="minorHAnsi" w:hAnsiTheme="minorHAnsi" w:cstheme="minorHAnsi"/>
                <w:i/>
                <w:iCs/>
                <w:color w:val="3A3838"/>
                <w:sz w:val="16"/>
                <w:szCs w:val="16"/>
                <w:lang w:eastAsia="es-MX"/>
              </w:rPr>
            </w:pPr>
            <w:r w:rsidRPr="002150BE">
              <w:rPr>
                <w:rFonts w:asciiTheme="minorHAnsi" w:hAnsiTheme="minorHAnsi" w:cstheme="minorHAnsi"/>
                <w:i/>
                <w:iCs/>
                <w:color w:val="3A3838"/>
                <w:sz w:val="16"/>
                <w:szCs w:val="16"/>
                <w:lang w:eastAsia="es-MX"/>
              </w:rPr>
              <w:t>Sí</w:t>
            </w:r>
          </w:p>
        </w:tc>
        <w:tc>
          <w:tcPr>
            <w:tcW w:w="992" w:type="dxa"/>
            <w:noWrap/>
            <w:vAlign w:val="center"/>
            <w:hideMark/>
          </w:tcPr>
          <w:p w14:paraId="07E05122" w14:textId="3048BE77" w:rsidR="00587B73" w:rsidRPr="002150BE" w:rsidRDefault="003E0279" w:rsidP="00587B73">
            <w:pPr>
              <w:spacing w:after="0" w:line="240" w:lineRule="auto"/>
              <w:jc w:val="center"/>
              <w:rPr>
                <w:rFonts w:asciiTheme="minorHAnsi" w:hAnsiTheme="minorHAnsi" w:cstheme="minorHAnsi"/>
                <w:color w:val="3A3838"/>
                <w:sz w:val="16"/>
                <w:szCs w:val="16"/>
                <w:lang w:eastAsia="es-MX"/>
              </w:rPr>
            </w:pPr>
            <w:r w:rsidRPr="002150BE">
              <w:rPr>
                <w:rFonts w:asciiTheme="minorHAnsi" w:hAnsiTheme="minorHAnsi" w:cstheme="minorHAnsi"/>
                <w:color w:val="3A3838"/>
                <w:sz w:val="16"/>
                <w:szCs w:val="16"/>
                <w:lang w:eastAsia="es-MX"/>
              </w:rPr>
              <w:t>Porcentaje de matrícula de educación superior que logra la UTC</w:t>
            </w:r>
          </w:p>
        </w:tc>
        <w:tc>
          <w:tcPr>
            <w:tcW w:w="709" w:type="dxa"/>
            <w:noWrap/>
            <w:vAlign w:val="center"/>
            <w:hideMark/>
          </w:tcPr>
          <w:p w14:paraId="439542F1" w14:textId="664614CC" w:rsidR="00587B73" w:rsidRPr="002150BE" w:rsidRDefault="003E0279" w:rsidP="00587B73">
            <w:pPr>
              <w:spacing w:after="0" w:line="240" w:lineRule="auto"/>
              <w:jc w:val="center"/>
              <w:rPr>
                <w:rFonts w:asciiTheme="minorHAnsi" w:hAnsiTheme="minorHAnsi" w:cstheme="minorHAnsi"/>
                <w:color w:val="3A3838"/>
                <w:sz w:val="16"/>
                <w:szCs w:val="16"/>
                <w:lang w:eastAsia="es-MX"/>
              </w:rPr>
            </w:pPr>
            <w:r w:rsidRPr="002150BE">
              <w:rPr>
                <w:rFonts w:asciiTheme="minorHAnsi" w:hAnsiTheme="minorHAnsi" w:cstheme="minorHAnsi"/>
                <w:color w:val="3A3838"/>
                <w:sz w:val="16"/>
                <w:szCs w:val="16"/>
                <w:lang w:eastAsia="es-MX"/>
              </w:rPr>
              <w:t>Porcentaje que representa la matrícula de la UTC respecto a la matrícula total de educación superior en el estado de Sinaloa.</w:t>
            </w:r>
          </w:p>
        </w:tc>
        <w:tc>
          <w:tcPr>
            <w:tcW w:w="992" w:type="dxa"/>
            <w:gridSpan w:val="3"/>
            <w:noWrap/>
            <w:vAlign w:val="center"/>
            <w:hideMark/>
          </w:tcPr>
          <w:p w14:paraId="5035FD3A" w14:textId="22D0FF8E" w:rsidR="00587B73" w:rsidRPr="002150BE" w:rsidRDefault="003E0279" w:rsidP="00587B73">
            <w:pPr>
              <w:spacing w:after="0" w:line="240" w:lineRule="auto"/>
              <w:jc w:val="center"/>
              <w:rPr>
                <w:rFonts w:asciiTheme="minorHAnsi" w:hAnsiTheme="minorHAnsi" w:cstheme="minorHAnsi"/>
                <w:color w:val="3A3838"/>
                <w:sz w:val="16"/>
                <w:szCs w:val="16"/>
                <w:lang w:eastAsia="es-MX"/>
              </w:rPr>
            </w:pPr>
            <w:r w:rsidRPr="002150BE">
              <w:rPr>
                <w:rFonts w:asciiTheme="minorHAnsi" w:hAnsiTheme="minorHAnsi" w:cstheme="minorHAnsi"/>
                <w:color w:val="3A3838"/>
                <w:sz w:val="16"/>
                <w:szCs w:val="16"/>
                <w:lang w:eastAsia="es-MX"/>
              </w:rPr>
              <w:t>(Matrícula de la UTC / Matrícula total de educación superior en Sinaloa) * 100</w:t>
            </w:r>
          </w:p>
        </w:tc>
        <w:tc>
          <w:tcPr>
            <w:tcW w:w="993" w:type="dxa"/>
            <w:gridSpan w:val="2"/>
            <w:noWrap/>
            <w:vAlign w:val="center"/>
            <w:hideMark/>
          </w:tcPr>
          <w:p w14:paraId="42408691" w14:textId="295F57B8" w:rsidR="00587B73" w:rsidRPr="002150BE" w:rsidRDefault="003E0279" w:rsidP="00587B73">
            <w:pPr>
              <w:spacing w:after="0" w:line="240" w:lineRule="auto"/>
              <w:jc w:val="center"/>
              <w:rPr>
                <w:rFonts w:asciiTheme="minorHAnsi" w:hAnsiTheme="minorHAnsi" w:cstheme="minorHAnsi"/>
                <w:color w:val="3A3838"/>
                <w:sz w:val="16"/>
                <w:szCs w:val="16"/>
                <w:lang w:eastAsia="es-MX"/>
              </w:rPr>
            </w:pPr>
            <w:r w:rsidRPr="002150BE">
              <w:rPr>
                <w:rFonts w:asciiTheme="minorHAnsi" w:hAnsiTheme="minorHAnsi" w:cstheme="minorHAnsi"/>
                <w:color w:val="3A3838"/>
                <w:sz w:val="16"/>
                <w:szCs w:val="16"/>
                <w:lang w:eastAsia="es-MX"/>
              </w:rPr>
              <w:t>Porcentaje (%)</w:t>
            </w:r>
          </w:p>
        </w:tc>
        <w:tc>
          <w:tcPr>
            <w:tcW w:w="708" w:type="dxa"/>
            <w:gridSpan w:val="2"/>
            <w:noWrap/>
            <w:vAlign w:val="center"/>
            <w:hideMark/>
          </w:tcPr>
          <w:p w14:paraId="4077431D" w14:textId="43E270A6" w:rsidR="00587B73" w:rsidRPr="002150BE" w:rsidRDefault="003E0279" w:rsidP="00587B73">
            <w:pPr>
              <w:spacing w:after="0" w:line="240" w:lineRule="auto"/>
              <w:jc w:val="center"/>
              <w:rPr>
                <w:rFonts w:asciiTheme="minorHAnsi" w:hAnsiTheme="minorHAnsi" w:cstheme="minorHAnsi"/>
                <w:color w:val="3A3838"/>
                <w:sz w:val="16"/>
                <w:szCs w:val="16"/>
                <w:lang w:eastAsia="es-MX"/>
              </w:rPr>
            </w:pPr>
            <w:r w:rsidRPr="002150BE">
              <w:rPr>
                <w:rFonts w:asciiTheme="minorHAnsi" w:hAnsiTheme="minorHAnsi" w:cstheme="minorHAnsi"/>
                <w:color w:val="3A3838"/>
                <w:sz w:val="16"/>
                <w:szCs w:val="16"/>
                <w:lang w:eastAsia="es-MX"/>
              </w:rPr>
              <w:t>Anual (con actualización trimestral interna)</w:t>
            </w:r>
          </w:p>
        </w:tc>
        <w:tc>
          <w:tcPr>
            <w:tcW w:w="851" w:type="dxa"/>
            <w:gridSpan w:val="2"/>
            <w:noWrap/>
            <w:vAlign w:val="center"/>
            <w:hideMark/>
          </w:tcPr>
          <w:p w14:paraId="3A569297" w14:textId="18A5FE6A" w:rsidR="00587B73" w:rsidRPr="002150BE" w:rsidRDefault="003E0279" w:rsidP="00587B73">
            <w:pPr>
              <w:spacing w:after="0" w:line="240" w:lineRule="auto"/>
              <w:jc w:val="center"/>
              <w:rPr>
                <w:rFonts w:asciiTheme="minorHAnsi" w:hAnsiTheme="minorHAnsi" w:cstheme="minorHAnsi"/>
                <w:color w:val="3A3838"/>
                <w:sz w:val="16"/>
                <w:szCs w:val="16"/>
                <w:lang w:eastAsia="es-MX"/>
              </w:rPr>
            </w:pPr>
            <w:r w:rsidRPr="002150BE">
              <w:rPr>
                <w:rFonts w:asciiTheme="minorHAnsi" w:hAnsiTheme="minorHAnsi" w:cstheme="minorHAnsi"/>
                <w:color w:val="3A3838"/>
                <w:sz w:val="16"/>
                <w:szCs w:val="16"/>
                <w:lang w:eastAsia="es-MX"/>
              </w:rPr>
              <w:t>Porcentaje 2023 (UTC e INEGI)</w:t>
            </w:r>
          </w:p>
        </w:tc>
        <w:tc>
          <w:tcPr>
            <w:tcW w:w="567" w:type="dxa"/>
            <w:noWrap/>
            <w:vAlign w:val="center"/>
            <w:hideMark/>
          </w:tcPr>
          <w:p w14:paraId="264289A4" w14:textId="1F3D9B32" w:rsidR="00587B73" w:rsidRPr="002150BE" w:rsidRDefault="003E0279" w:rsidP="00587B73">
            <w:pPr>
              <w:spacing w:after="0" w:line="240" w:lineRule="auto"/>
              <w:jc w:val="center"/>
              <w:rPr>
                <w:rFonts w:asciiTheme="minorHAnsi" w:hAnsiTheme="minorHAnsi" w:cstheme="minorHAnsi"/>
                <w:color w:val="3A3838"/>
                <w:sz w:val="16"/>
                <w:szCs w:val="16"/>
                <w:lang w:eastAsia="es-MX"/>
              </w:rPr>
            </w:pPr>
            <w:r w:rsidRPr="002150BE">
              <w:rPr>
                <w:rFonts w:asciiTheme="minorHAnsi" w:hAnsiTheme="minorHAnsi" w:cstheme="minorHAnsi"/>
                <w:color w:val="3A3838"/>
                <w:sz w:val="16"/>
                <w:szCs w:val="16"/>
                <w:lang w:eastAsia="es-MX"/>
              </w:rPr>
              <w:t>Ascendente (se busca aumentar la participación de la UTC en la matrícula de educación superior)</w:t>
            </w:r>
          </w:p>
        </w:tc>
        <w:tc>
          <w:tcPr>
            <w:tcW w:w="1404" w:type="dxa"/>
            <w:gridSpan w:val="2"/>
            <w:noWrap/>
            <w:vAlign w:val="center"/>
          </w:tcPr>
          <w:p w14:paraId="61A729CC" w14:textId="1CAEB8D6" w:rsidR="00587B73" w:rsidRPr="002150BE" w:rsidRDefault="00587B73" w:rsidP="00587B73">
            <w:pPr>
              <w:spacing w:after="0" w:line="240" w:lineRule="auto"/>
              <w:jc w:val="center"/>
              <w:rPr>
                <w:rFonts w:asciiTheme="minorHAnsi" w:hAnsiTheme="minorHAnsi" w:cstheme="minorHAnsi"/>
                <w:color w:val="3A3838"/>
                <w:sz w:val="16"/>
                <w:szCs w:val="16"/>
                <w:lang w:eastAsia="es-MX"/>
              </w:rPr>
            </w:pPr>
            <w:r w:rsidRPr="002150BE">
              <w:rPr>
                <w:rFonts w:asciiTheme="minorHAnsi" w:hAnsiTheme="minorHAnsi" w:cstheme="minorHAnsi"/>
                <w:i/>
                <w:iCs/>
                <w:color w:val="3A3838"/>
                <w:sz w:val="16"/>
                <w:szCs w:val="16"/>
                <w:lang w:eastAsia="es-MX"/>
              </w:rPr>
              <w:t>Sí</w:t>
            </w:r>
          </w:p>
        </w:tc>
      </w:tr>
      <w:tr w:rsidR="00587B73" w:rsidRPr="002150BE" w14:paraId="01EA6D1F" w14:textId="77777777" w:rsidTr="003C4A56">
        <w:trPr>
          <w:trHeight w:val="355"/>
        </w:trPr>
        <w:tc>
          <w:tcPr>
            <w:tcW w:w="1281" w:type="dxa"/>
            <w:gridSpan w:val="2"/>
            <w:shd w:val="clear" w:color="auto" w:fill="D9D9D9" w:themeFill="background1" w:themeFillShade="D9"/>
            <w:vAlign w:val="center"/>
            <w:hideMark/>
          </w:tcPr>
          <w:p w14:paraId="1D879076" w14:textId="77777777" w:rsidR="00587B73" w:rsidRPr="002150BE" w:rsidRDefault="00587B73" w:rsidP="00587B73">
            <w:pPr>
              <w:spacing w:after="0" w:line="240" w:lineRule="auto"/>
              <w:jc w:val="left"/>
              <w:rPr>
                <w:rFonts w:asciiTheme="minorHAnsi" w:hAnsiTheme="minorHAnsi" w:cstheme="minorHAnsi"/>
                <w:color w:val="3A3838"/>
                <w:sz w:val="16"/>
                <w:szCs w:val="16"/>
                <w:lang w:eastAsia="es-MX"/>
              </w:rPr>
            </w:pPr>
            <w:r w:rsidRPr="002150BE">
              <w:rPr>
                <w:rFonts w:asciiTheme="minorHAnsi" w:hAnsiTheme="minorHAnsi" w:cstheme="minorHAnsi"/>
                <w:color w:val="3A3838"/>
                <w:sz w:val="16"/>
                <w:szCs w:val="16"/>
                <w:lang w:eastAsia="es-MX"/>
              </w:rPr>
              <w:t xml:space="preserve">La generación y/o entrega de los bienes y/o servicios </w:t>
            </w:r>
          </w:p>
        </w:tc>
        <w:tc>
          <w:tcPr>
            <w:tcW w:w="1134" w:type="dxa"/>
            <w:noWrap/>
            <w:vAlign w:val="center"/>
            <w:hideMark/>
          </w:tcPr>
          <w:p w14:paraId="74BDC85E" w14:textId="58571747" w:rsidR="00587B73" w:rsidRPr="002150BE" w:rsidRDefault="00587B73" w:rsidP="00587B73">
            <w:pPr>
              <w:spacing w:after="0" w:line="240" w:lineRule="auto"/>
              <w:jc w:val="center"/>
              <w:rPr>
                <w:rFonts w:asciiTheme="minorHAnsi" w:hAnsiTheme="minorHAnsi" w:cstheme="minorHAnsi"/>
                <w:i/>
                <w:iCs/>
                <w:color w:val="3A3838"/>
                <w:sz w:val="16"/>
                <w:szCs w:val="16"/>
                <w:lang w:eastAsia="es-MX"/>
              </w:rPr>
            </w:pPr>
            <w:r w:rsidRPr="002150BE">
              <w:rPr>
                <w:rFonts w:asciiTheme="minorHAnsi" w:hAnsiTheme="minorHAnsi" w:cstheme="minorHAnsi"/>
                <w:i/>
                <w:iCs/>
                <w:color w:val="3A3838"/>
                <w:sz w:val="16"/>
                <w:szCs w:val="16"/>
                <w:lang w:eastAsia="es-MX"/>
              </w:rPr>
              <w:t>Sí</w:t>
            </w:r>
          </w:p>
        </w:tc>
        <w:tc>
          <w:tcPr>
            <w:tcW w:w="992" w:type="dxa"/>
            <w:noWrap/>
            <w:vAlign w:val="center"/>
            <w:hideMark/>
          </w:tcPr>
          <w:p w14:paraId="2FBCC59F" w14:textId="391BCE12" w:rsidR="00587B73" w:rsidRPr="002150BE" w:rsidRDefault="003E0279" w:rsidP="00587B73">
            <w:pPr>
              <w:spacing w:after="0" w:line="240" w:lineRule="auto"/>
              <w:jc w:val="center"/>
              <w:rPr>
                <w:rFonts w:asciiTheme="minorHAnsi" w:hAnsiTheme="minorHAnsi" w:cstheme="minorHAnsi"/>
                <w:color w:val="3A3838"/>
                <w:sz w:val="16"/>
                <w:szCs w:val="16"/>
                <w:lang w:eastAsia="es-MX"/>
              </w:rPr>
            </w:pPr>
            <w:r w:rsidRPr="002150BE">
              <w:rPr>
                <w:rFonts w:asciiTheme="minorHAnsi" w:hAnsiTheme="minorHAnsi" w:cstheme="minorHAnsi"/>
                <w:color w:val="3A3838"/>
                <w:sz w:val="16"/>
                <w:szCs w:val="16"/>
                <w:lang w:eastAsia="es-MX"/>
              </w:rPr>
              <w:t>Porcentaje de programas educativos ofertados</w:t>
            </w:r>
          </w:p>
        </w:tc>
        <w:tc>
          <w:tcPr>
            <w:tcW w:w="709" w:type="dxa"/>
            <w:noWrap/>
            <w:vAlign w:val="center"/>
            <w:hideMark/>
          </w:tcPr>
          <w:p w14:paraId="77F627D2" w14:textId="6C65EE0E" w:rsidR="00587B73" w:rsidRPr="002150BE" w:rsidRDefault="003E0279" w:rsidP="00587B73">
            <w:pPr>
              <w:spacing w:after="0" w:line="240" w:lineRule="auto"/>
              <w:jc w:val="center"/>
              <w:rPr>
                <w:rFonts w:asciiTheme="minorHAnsi" w:hAnsiTheme="minorHAnsi" w:cstheme="minorHAnsi"/>
                <w:color w:val="3A3838"/>
                <w:sz w:val="16"/>
                <w:szCs w:val="16"/>
                <w:lang w:eastAsia="es-MX"/>
              </w:rPr>
            </w:pPr>
            <w:r w:rsidRPr="002150BE">
              <w:rPr>
                <w:rFonts w:asciiTheme="minorHAnsi" w:hAnsiTheme="minorHAnsi" w:cstheme="minorHAnsi"/>
                <w:color w:val="3A3838"/>
                <w:sz w:val="16"/>
                <w:szCs w:val="16"/>
                <w:lang w:eastAsia="es-MX"/>
              </w:rPr>
              <w:t xml:space="preserve">Mide la proporción de programas educativos de nivel profesional y TSU efectivamente ofertados respecto al total </w:t>
            </w:r>
            <w:r w:rsidRPr="002150BE">
              <w:rPr>
                <w:rFonts w:asciiTheme="minorHAnsi" w:hAnsiTheme="minorHAnsi" w:cstheme="minorHAnsi"/>
                <w:color w:val="3A3838"/>
                <w:sz w:val="16"/>
                <w:szCs w:val="16"/>
                <w:lang w:eastAsia="es-MX"/>
              </w:rPr>
              <w:lastRenderedPageBreak/>
              <w:t>programado.</w:t>
            </w:r>
          </w:p>
        </w:tc>
        <w:tc>
          <w:tcPr>
            <w:tcW w:w="992" w:type="dxa"/>
            <w:gridSpan w:val="3"/>
            <w:noWrap/>
            <w:vAlign w:val="center"/>
            <w:hideMark/>
          </w:tcPr>
          <w:p w14:paraId="396292EF" w14:textId="688D5D71" w:rsidR="00587B73" w:rsidRPr="002150BE" w:rsidRDefault="003E0279" w:rsidP="00587B73">
            <w:pPr>
              <w:spacing w:after="0" w:line="240" w:lineRule="auto"/>
              <w:jc w:val="center"/>
              <w:rPr>
                <w:rFonts w:asciiTheme="minorHAnsi" w:hAnsiTheme="minorHAnsi" w:cstheme="minorHAnsi"/>
                <w:color w:val="3A3838"/>
                <w:sz w:val="16"/>
                <w:szCs w:val="16"/>
                <w:lang w:eastAsia="es-MX"/>
              </w:rPr>
            </w:pPr>
            <w:r w:rsidRPr="002150BE">
              <w:rPr>
                <w:rFonts w:asciiTheme="minorHAnsi" w:hAnsiTheme="minorHAnsi" w:cstheme="minorHAnsi"/>
                <w:color w:val="3A3838"/>
                <w:sz w:val="16"/>
                <w:szCs w:val="16"/>
                <w:lang w:eastAsia="es-MX"/>
              </w:rPr>
              <w:lastRenderedPageBreak/>
              <w:t>(Programas educativos de nivel profesional y TSU ofertados / Total de programas educativos de nivel profesional y TSU programados) * 100</w:t>
            </w:r>
          </w:p>
        </w:tc>
        <w:tc>
          <w:tcPr>
            <w:tcW w:w="993" w:type="dxa"/>
            <w:gridSpan w:val="2"/>
            <w:noWrap/>
            <w:vAlign w:val="center"/>
            <w:hideMark/>
          </w:tcPr>
          <w:p w14:paraId="15ABA72E" w14:textId="43232A89" w:rsidR="00587B73" w:rsidRPr="002150BE" w:rsidRDefault="003E0279" w:rsidP="00587B73">
            <w:pPr>
              <w:spacing w:after="0" w:line="240" w:lineRule="auto"/>
              <w:jc w:val="center"/>
              <w:rPr>
                <w:rFonts w:asciiTheme="minorHAnsi" w:hAnsiTheme="minorHAnsi" w:cstheme="minorHAnsi"/>
                <w:color w:val="3A3838"/>
                <w:sz w:val="16"/>
                <w:szCs w:val="16"/>
                <w:lang w:eastAsia="es-MX"/>
              </w:rPr>
            </w:pPr>
            <w:r w:rsidRPr="002150BE">
              <w:rPr>
                <w:rFonts w:asciiTheme="minorHAnsi" w:hAnsiTheme="minorHAnsi" w:cstheme="minorHAnsi"/>
                <w:color w:val="3A3838"/>
                <w:sz w:val="16"/>
                <w:szCs w:val="16"/>
                <w:lang w:eastAsia="es-MX"/>
              </w:rPr>
              <w:t>Porcentaje (%)</w:t>
            </w:r>
          </w:p>
        </w:tc>
        <w:tc>
          <w:tcPr>
            <w:tcW w:w="708" w:type="dxa"/>
            <w:gridSpan w:val="2"/>
            <w:noWrap/>
            <w:vAlign w:val="center"/>
            <w:hideMark/>
          </w:tcPr>
          <w:p w14:paraId="753946B5" w14:textId="6D44CA13" w:rsidR="00587B73" w:rsidRPr="002150BE" w:rsidRDefault="003E0279" w:rsidP="00587B73">
            <w:pPr>
              <w:spacing w:after="0" w:line="240" w:lineRule="auto"/>
              <w:jc w:val="center"/>
              <w:rPr>
                <w:rFonts w:asciiTheme="minorHAnsi" w:hAnsiTheme="minorHAnsi" w:cstheme="minorHAnsi"/>
                <w:color w:val="3A3838"/>
                <w:sz w:val="16"/>
                <w:szCs w:val="16"/>
                <w:lang w:eastAsia="es-MX"/>
              </w:rPr>
            </w:pPr>
            <w:r w:rsidRPr="002150BE">
              <w:rPr>
                <w:rFonts w:asciiTheme="minorHAnsi" w:hAnsiTheme="minorHAnsi" w:cstheme="minorHAnsi"/>
                <w:color w:val="3A3838"/>
                <w:sz w:val="16"/>
                <w:szCs w:val="16"/>
                <w:lang w:eastAsia="es-MX"/>
              </w:rPr>
              <w:t>Anual (con seguimiento cuatrimestral)</w:t>
            </w:r>
          </w:p>
        </w:tc>
        <w:tc>
          <w:tcPr>
            <w:tcW w:w="851" w:type="dxa"/>
            <w:gridSpan w:val="2"/>
            <w:noWrap/>
            <w:vAlign w:val="center"/>
            <w:hideMark/>
          </w:tcPr>
          <w:p w14:paraId="315A7408" w14:textId="60BB8B80" w:rsidR="00587B73" w:rsidRPr="002150BE" w:rsidRDefault="003E0279" w:rsidP="00587B73">
            <w:pPr>
              <w:spacing w:after="0" w:line="240" w:lineRule="auto"/>
              <w:jc w:val="center"/>
              <w:rPr>
                <w:rFonts w:asciiTheme="minorHAnsi" w:hAnsiTheme="minorHAnsi" w:cstheme="minorHAnsi"/>
                <w:color w:val="3A3838"/>
                <w:sz w:val="16"/>
                <w:szCs w:val="16"/>
                <w:lang w:eastAsia="es-MX"/>
              </w:rPr>
            </w:pPr>
            <w:r w:rsidRPr="002150BE">
              <w:rPr>
                <w:rFonts w:asciiTheme="minorHAnsi" w:hAnsiTheme="minorHAnsi" w:cstheme="minorHAnsi"/>
                <w:color w:val="3A3838"/>
                <w:sz w:val="16"/>
                <w:szCs w:val="16"/>
                <w:lang w:eastAsia="es-MX"/>
              </w:rPr>
              <w:t>Porcentaje 2023 (UT Culiacán)</w:t>
            </w:r>
          </w:p>
        </w:tc>
        <w:tc>
          <w:tcPr>
            <w:tcW w:w="567" w:type="dxa"/>
            <w:noWrap/>
            <w:vAlign w:val="center"/>
            <w:hideMark/>
          </w:tcPr>
          <w:p w14:paraId="76222E7F" w14:textId="1C4FE739" w:rsidR="00587B73" w:rsidRPr="002150BE" w:rsidRDefault="003E0279" w:rsidP="00587B73">
            <w:pPr>
              <w:spacing w:after="0" w:line="240" w:lineRule="auto"/>
              <w:jc w:val="center"/>
              <w:rPr>
                <w:rFonts w:asciiTheme="minorHAnsi" w:hAnsiTheme="minorHAnsi" w:cstheme="minorHAnsi"/>
                <w:color w:val="3A3838"/>
                <w:sz w:val="16"/>
                <w:szCs w:val="16"/>
                <w:lang w:eastAsia="es-MX"/>
              </w:rPr>
            </w:pPr>
            <w:r w:rsidRPr="002150BE">
              <w:rPr>
                <w:rFonts w:asciiTheme="minorHAnsi" w:hAnsiTheme="minorHAnsi" w:cstheme="minorHAnsi"/>
                <w:color w:val="3A3838"/>
                <w:sz w:val="16"/>
                <w:szCs w:val="16"/>
                <w:lang w:eastAsia="es-MX"/>
              </w:rPr>
              <w:t>Ascendente (mayor proporción implica mejor cumplimiento de la oferta programada)</w:t>
            </w:r>
          </w:p>
        </w:tc>
        <w:tc>
          <w:tcPr>
            <w:tcW w:w="1404" w:type="dxa"/>
            <w:gridSpan w:val="2"/>
            <w:noWrap/>
            <w:vAlign w:val="center"/>
          </w:tcPr>
          <w:p w14:paraId="185EA4F1" w14:textId="70089446" w:rsidR="00587B73" w:rsidRPr="002150BE" w:rsidRDefault="00587B73" w:rsidP="00587B73">
            <w:pPr>
              <w:spacing w:after="0" w:line="240" w:lineRule="auto"/>
              <w:jc w:val="center"/>
              <w:rPr>
                <w:rFonts w:asciiTheme="minorHAnsi" w:hAnsiTheme="minorHAnsi" w:cstheme="minorHAnsi"/>
                <w:color w:val="3A3838"/>
                <w:sz w:val="16"/>
                <w:szCs w:val="16"/>
                <w:lang w:eastAsia="es-MX"/>
              </w:rPr>
            </w:pPr>
            <w:r w:rsidRPr="002150BE">
              <w:rPr>
                <w:rFonts w:asciiTheme="minorHAnsi" w:hAnsiTheme="minorHAnsi" w:cstheme="minorHAnsi"/>
                <w:i/>
                <w:iCs/>
                <w:color w:val="3A3838"/>
                <w:sz w:val="16"/>
                <w:szCs w:val="16"/>
                <w:lang w:eastAsia="es-MX"/>
              </w:rPr>
              <w:t>Sí</w:t>
            </w:r>
          </w:p>
        </w:tc>
      </w:tr>
      <w:tr w:rsidR="00587B73" w:rsidRPr="002150BE" w14:paraId="73AFE8C3" w14:textId="77777777" w:rsidTr="003C4A56">
        <w:trPr>
          <w:trHeight w:val="355"/>
        </w:trPr>
        <w:tc>
          <w:tcPr>
            <w:tcW w:w="1281" w:type="dxa"/>
            <w:gridSpan w:val="2"/>
            <w:shd w:val="clear" w:color="auto" w:fill="D9D9D9" w:themeFill="background1" w:themeFillShade="D9"/>
            <w:vAlign w:val="center"/>
            <w:hideMark/>
          </w:tcPr>
          <w:p w14:paraId="19690140" w14:textId="77777777" w:rsidR="00587B73" w:rsidRPr="002150BE" w:rsidRDefault="00587B73" w:rsidP="00587B73">
            <w:pPr>
              <w:spacing w:after="0" w:line="240" w:lineRule="auto"/>
              <w:jc w:val="left"/>
              <w:rPr>
                <w:rFonts w:asciiTheme="minorHAnsi" w:hAnsiTheme="minorHAnsi" w:cstheme="minorHAnsi"/>
                <w:color w:val="3A3838"/>
                <w:sz w:val="16"/>
                <w:szCs w:val="16"/>
                <w:lang w:eastAsia="es-MX"/>
              </w:rPr>
            </w:pPr>
            <w:r w:rsidRPr="002150BE">
              <w:rPr>
                <w:rFonts w:asciiTheme="minorHAnsi" w:hAnsiTheme="minorHAnsi" w:cstheme="minorHAnsi"/>
                <w:color w:val="3A3838"/>
                <w:sz w:val="16"/>
                <w:szCs w:val="16"/>
                <w:lang w:eastAsia="es-MX"/>
              </w:rPr>
              <w:t>La gestión de los principales procesos y/o actividades del Pp</w:t>
            </w:r>
          </w:p>
        </w:tc>
        <w:tc>
          <w:tcPr>
            <w:tcW w:w="1134" w:type="dxa"/>
            <w:noWrap/>
            <w:vAlign w:val="center"/>
            <w:hideMark/>
          </w:tcPr>
          <w:p w14:paraId="6C61B690" w14:textId="7F5A3387" w:rsidR="00587B73" w:rsidRPr="002150BE" w:rsidRDefault="00587B73" w:rsidP="00587B73">
            <w:pPr>
              <w:spacing w:after="0" w:line="240" w:lineRule="auto"/>
              <w:jc w:val="center"/>
              <w:rPr>
                <w:rFonts w:asciiTheme="minorHAnsi" w:hAnsiTheme="minorHAnsi" w:cstheme="minorHAnsi"/>
                <w:i/>
                <w:iCs/>
                <w:color w:val="3A3838"/>
                <w:sz w:val="16"/>
                <w:szCs w:val="16"/>
                <w:lang w:eastAsia="es-MX"/>
              </w:rPr>
            </w:pPr>
            <w:r w:rsidRPr="002150BE">
              <w:rPr>
                <w:rFonts w:asciiTheme="minorHAnsi" w:hAnsiTheme="minorHAnsi" w:cstheme="minorHAnsi"/>
                <w:i/>
                <w:iCs/>
                <w:color w:val="3A3838"/>
                <w:sz w:val="16"/>
                <w:szCs w:val="16"/>
                <w:lang w:eastAsia="es-MX"/>
              </w:rPr>
              <w:t>Sí</w:t>
            </w:r>
          </w:p>
        </w:tc>
        <w:tc>
          <w:tcPr>
            <w:tcW w:w="992" w:type="dxa"/>
            <w:noWrap/>
            <w:vAlign w:val="center"/>
            <w:hideMark/>
          </w:tcPr>
          <w:p w14:paraId="7BA599A3" w14:textId="50CB4986" w:rsidR="00587B73" w:rsidRPr="002150BE" w:rsidRDefault="003E0279" w:rsidP="00587B73">
            <w:pPr>
              <w:spacing w:after="0" w:line="240" w:lineRule="auto"/>
              <w:jc w:val="center"/>
              <w:rPr>
                <w:rFonts w:asciiTheme="minorHAnsi" w:hAnsiTheme="minorHAnsi" w:cstheme="minorHAnsi"/>
                <w:color w:val="3A3838"/>
                <w:sz w:val="16"/>
                <w:szCs w:val="16"/>
                <w:lang w:eastAsia="es-MX"/>
              </w:rPr>
            </w:pPr>
            <w:r w:rsidRPr="002150BE">
              <w:rPr>
                <w:rFonts w:asciiTheme="minorHAnsi" w:hAnsiTheme="minorHAnsi" w:cstheme="minorHAnsi"/>
                <w:color w:val="3A3838"/>
                <w:sz w:val="16"/>
                <w:szCs w:val="16"/>
                <w:lang w:eastAsia="es-MX"/>
              </w:rPr>
              <w:t>Porcentaje de avance de las acciones de mantenimiento y conservación</w:t>
            </w:r>
          </w:p>
        </w:tc>
        <w:tc>
          <w:tcPr>
            <w:tcW w:w="709" w:type="dxa"/>
            <w:noWrap/>
            <w:vAlign w:val="center"/>
            <w:hideMark/>
          </w:tcPr>
          <w:p w14:paraId="1B03EEA3" w14:textId="26A08B12" w:rsidR="00587B73" w:rsidRPr="002150BE" w:rsidRDefault="003E0279" w:rsidP="00587B73">
            <w:pPr>
              <w:spacing w:after="0" w:line="240" w:lineRule="auto"/>
              <w:jc w:val="center"/>
              <w:rPr>
                <w:rFonts w:asciiTheme="minorHAnsi" w:hAnsiTheme="minorHAnsi" w:cstheme="minorHAnsi"/>
                <w:color w:val="3A3838"/>
                <w:sz w:val="16"/>
                <w:szCs w:val="16"/>
                <w:lang w:eastAsia="es-MX"/>
              </w:rPr>
            </w:pPr>
            <w:r w:rsidRPr="002150BE">
              <w:rPr>
                <w:rFonts w:asciiTheme="minorHAnsi" w:hAnsiTheme="minorHAnsi" w:cstheme="minorHAnsi"/>
                <w:color w:val="3A3838"/>
                <w:sz w:val="16"/>
                <w:szCs w:val="16"/>
                <w:lang w:eastAsia="es-MX"/>
              </w:rPr>
              <w:t>Mide el grado de cumplimiento de las acciones de mantenimiento y conservación programadas para la infraestructura y equipamiento institucional.</w:t>
            </w:r>
          </w:p>
        </w:tc>
        <w:tc>
          <w:tcPr>
            <w:tcW w:w="992" w:type="dxa"/>
            <w:gridSpan w:val="3"/>
            <w:noWrap/>
            <w:vAlign w:val="center"/>
            <w:hideMark/>
          </w:tcPr>
          <w:p w14:paraId="00E6B6C4" w14:textId="5AC42097" w:rsidR="00587B73" w:rsidRPr="002150BE" w:rsidRDefault="003E0279" w:rsidP="00587B73">
            <w:pPr>
              <w:spacing w:after="0" w:line="240" w:lineRule="auto"/>
              <w:jc w:val="center"/>
              <w:rPr>
                <w:rFonts w:asciiTheme="minorHAnsi" w:hAnsiTheme="minorHAnsi" w:cstheme="minorHAnsi"/>
                <w:color w:val="3A3838"/>
                <w:sz w:val="16"/>
                <w:szCs w:val="16"/>
                <w:lang w:eastAsia="es-MX"/>
              </w:rPr>
            </w:pPr>
            <w:r w:rsidRPr="002150BE">
              <w:rPr>
                <w:rFonts w:asciiTheme="minorHAnsi" w:hAnsiTheme="minorHAnsi" w:cstheme="minorHAnsi"/>
                <w:color w:val="3A3838"/>
                <w:sz w:val="16"/>
                <w:szCs w:val="16"/>
                <w:lang w:eastAsia="es-MX"/>
              </w:rPr>
              <w:t>(Acciones de mantenimiento y conservación ejecutadas / Acciones de mantenimiento y conservación requeridas anuales) * 100</w:t>
            </w:r>
          </w:p>
        </w:tc>
        <w:tc>
          <w:tcPr>
            <w:tcW w:w="993" w:type="dxa"/>
            <w:gridSpan w:val="2"/>
            <w:noWrap/>
            <w:vAlign w:val="center"/>
            <w:hideMark/>
          </w:tcPr>
          <w:p w14:paraId="2DFE1E9F" w14:textId="37239BF7" w:rsidR="00587B73" w:rsidRPr="002150BE" w:rsidRDefault="003E0279" w:rsidP="00587B73">
            <w:pPr>
              <w:spacing w:after="0" w:line="240" w:lineRule="auto"/>
              <w:jc w:val="center"/>
              <w:rPr>
                <w:rFonts w:asciiTheme="minorHAnsi" w:hAnsiTheme="minorHAnsi" w:cstheme="minorHAnsi"/>
                <w:color w:val="3A3838"/>
                <w:sz w:val="16"/>
                <w:szCs w:val="16"/>
                <w:lang w:eastAsia="es-MX"/>
              </w:rPr>
            </w:pPr>
            <w:r w:rsidRPr="002150BE">
              <w:rPr>
                <w:rFonts w:asciiTheme="minorHAnsi" w:hAnsiTheme="minorHAnsi" w:cstheme="minorHAnsi"/>
                <w:color w:val="3A3838"/>
                <w:sz w:val="16"/>
                <w:szCs w:val="16"/>
                <w:lang w:eastAsia="es-MX"/>
              </w:rPr>
              <w:t>Porcentaje (%)</w:t>
            </w:r>
          </w:p>
        </w:tc>
        <w:tc>
          <w:tcPr>
            <w:tcW w:w="708" w:type="dxa"/>
            <w:gridSpan w:val="2"/>
            <w:noWrap/>
            <w:vAlign w:val="center"/>
            <w:hideMark/>
          </w:tcPr>
          <w:p w14:paraId="08E9940E" w14:textId="44C08D1E" w:rsidR="00587B73" w:rsidRPr="002150BE" w:rsidRDefault="003E0279" w:rsidP="00587B73">
            <w:pPr>
              <w:spacing w:after="0" w:line="240" w:lineRule="auto"/>
              <w:jc w:val="center"/>
              <w:rPr>
                <w:rFonts w:asciiTheme="minorHAnsi" w:hAnsiTheme="minorHAnsi" w:cstheme="minorHAnsi"/>
                <w:color w:val="3A3838"/>
                <w:sz w:val="16"/>
                <w:szCs w:val="16"/>
                <w:lang w:eastAsia="es-MX"/>
              </w:rPr>
            </w:pPr>
            <w:r w:rsidRPr="002150BE">
              <w:rPr>
                <w:rFonts w:asciiTheme="minorHAnsi" w:hAnsiTheme="minorHAnsi" w:cstheme="minorHAnsi"/>
                <w:color w:val="3A3838"/>
                <w:sz w:val="16"/>
                <w:szCs w:val="16"/>
                <w:lang w:eastAsia="es-MX"/>
              </w:rPr>
              <w:t>Trimestral / Anual</w:t>
            </w:r>
          </w:p>
        </w:tc>
        <w:tc>
          <w:tcPr>
            <w:tcW w:w="851" w:type="dxa"/>
            <w:gridSpan w:val="2"/>
            <w:noWrap/>
            <w:vAlign w:val="center"/>
            <w:hideMark/>
          </w:tcPr>
          <w:p w14:paraId="03E19759" w14:textId="0F1BE1A6" w:rsidR="00587B73" w:rsidRPr="002150BE" w:rsidRDefault="003E0279" w:rsidP="00587B73">
            <w:pPr>
              <w:spacing w:after="0" w:line="240" w:lineRule="auto"/>
              <w:jc w:val="center"/>
              <w:rPr>
                <w:rFonts w:asciiTheme="minorHAnsi" w:hAnsiTheme="minorHAnsi" w:cstheme="minorHAnsi"/>
                <w:color w:val="3A3838"/>
                <w:sz w:val="16"/>
                <w:szCs w:val="16"/>
                <w:lang w:eastAsia="es-MX"/>
              </w:rPr>
            </w:pPr>
            <w:r w:rsidRPr="002150BE">
              <w:rPr>
                <w:rFonts w:asciiTheme="minorHAnsi" w:hAnsiTheme="minorHAnsi" w:cstheme="minorHAnsi"/>
                <w:color w:val="3A3838"/>
                <w:sz w:val="16"/>
                <w:szCs w:val="16"/>
                <w:lang w:eastAsia="es-MX"/>
              </w:rPr>
              <w:t>Porcentaje 2023 (Avances trimestrales – Administración)</w:t>
            </w:r>
          </w:p>
        </w:tc>
        <w:tc>
          <w:tcPr>
            <w:tcW w:w="567" w:type="dxa"/>
            <w:noWrap/>
            <w:vAlign w:val="center"/>
            <w:hideMark/>
          </w:tcPr>
          <w:p w14:paraId="0077DA49" w14:textId="286CD67D" w:rsidR="00587B73" w:rsidRPr="002150BE" w:rsidRDefault="003E0279" w:rsidP="00587B73">
            <w:pPr>
              <w:spacing w:after="0" w:line="240" w:lineRule="auto"/>
              <w:jc w:val="center"/>
              <w:rPr>
                <w:rFonts w:asciiTheme="minorHAnsi" w:hAnsiTheme="minorHAnsi" w:cstheme="minorHAnsi"/>
                <w:color w:val="3A3838"/>
                <w:sz w:val="16"/>
                <w:szCs w:val="16"/>
                <w:lang w:eastAsia="es-MX"/>
              </w:rPr>
            </w:pPr>
            <w:r w:rsidRPr="002150BE">
              <w:rPr>
                <w:rFonts w:asciiTheme="minorHAnsi" w:hAnsiTheme="minorHAnsi" w:cstheme="minorHAnsi"/>
                <w:color w:val="3A3838"/>
                <w:sz w:val="16"/>
                <w:szCs w:val="16"/>
                <w:lang w:eastAsia="es-MX"/>
              </w:rPr>
              <w:t>Ascendente (mayor avance implica mejor gestión de procesos de soporte)</w:t>
            </w:r>
          </w:p>
        </w:tc>
        <w:tc>
          <w:tcPr>
            <w:tcW w:w="1404" w:type="dxa"/>
            <w:gridSpan w:val="2"/>
            <w:noWrap/>
            <w:vAlign w:val="center"/>
          </w:tcPr>
          <w:p w14:paraId="10FDCD0B" w14:textId="153F62B9" w:rsidR="00587B73" w:rsidRPr="002150BE" w:rsidRDefault="00587B73" w:rsidP="00587B73">
            <w:pPr>
              <w:spacing w:after="0" w:line="240" w:lineRule="auto"/>
              <w:jc w:val="center"/>
              <w:rPr>
                <w:rFonts w:asciiTheme="minorHAnsi" w:hAnsiTheme="minorHAnsi" w:cstheme="minorHAnsi"/>
                <w:color w:val="3A3838"/>
                <w:sz w:val="16"/>
                <w:szCs w:val="16"/>
                <w:lang w:eastAsia="es-MX"/>
              </w:rPr>
            </w:pPr>
            <w:r w:rsidRPr="002150BE">
              <w:rPr>
                <w:rFonts w:asciiTheme="minorHAnsi" w:hAnsiTheme="minorHAnsi" w:cstheme="minorHAnsi"/>
                <w:i/>
                <w:iCs/>
                <w:color w:val="3A3838"/>
                <w:sz w:val="16"/>
                <w:szCs w:val="16"/>
                <w:lang w:eastAsia="es-MX"/>
              </w:rPr>
              <w:t>Sí</w:t>
            </w:r>
          </w:p>
        </w:tc>
      </w:tr>
      <w:tr w:rsidR="00587B73" w:rsidRPr="002150BE" w14:paraId="10A09BC7" w14:textId="77777777" w:rsidTr="00A8251B">
        <w:trPr>
          <w:trHeight w:val="285"/>
        </w:trPr>
        <w:tc>
          <w:tcPr>
            <w:tcW w:w="9631" w:type="dxa"/>
            <w:gridSpan w:val="17"/>
            <w:shd w:val="clear" w:color="auto" w:fill="7F7F7F" w:themeFill="text1" w:themeFillTint="80"/>
            <w:noWrap/>
            <w:vAlign w:val="center"/>
            <w:hideMark/>
          </w:tcPr>
          <w:p w14:paraId="4F307260" w14:textId="77777777" w:rsidR="00587B73" w:rsidRPr="002150BE" w:rsidRDefault="00587B73" w:rsidP="00587B73">
            <w:pPr>
              <w:spacing w:after="0" w:line="240" w:lineRule="auto"/>
              <w:jc w:val="center"/>
              <w:rPr>
                <w:rFonts w:asciiTheme="minorHAnsi" w:hAnsiTheme="minorHAnsi" w:cstheme="minorHAnsi"/>
                <w:b/>
                <w:color w:val="FFFFFF" w:themeColor="background1"/>
                <w:sz w:val="18"/>
                <w:szCs w:val="18"/>
                <w:lang w:eastAsia="es-MX"/>
              </w:rPr>
            </w:pPr>
            <w:r w:rsidRPr="002150BE">
              <w:rPr>
                <w:rFonts w:asciiTheme="minorHAnsi" w:hAnsiTheme="minorHAnsi" w:cstheme="minorHAnsi"/>
                <w:b/>
                <w:color w:val="FFFFFF" w:themeColor="background1"/>
                <w:sz w:val="18"/>
                <w:szCs w:val="18"/>
                <w:lang w:eastAsia="es-MX"/>
              </w:rPr>
              <w:t>Características de los indicadores</w:t>
            </w:r>
          </w:p>
        </w:tc>
      </w:tr>
      <w:tr w:rsidR="00AA153F" w:rsidRPr="002150BE" w14:paraId="3FE7F626" w14:textId="77777777" w:rsidTr="003C4A56">
        <w:trPr>
          <w:trHeight w:val="403"/>
        </w:trPr>
        <w:tc>
          <w:tcPr>
            <w:tcW w:w="529" w:type="dxa"/>
            <w:vMerge w:val="restart"/>
            <w:shd w:val="clear" w:color="auto" w:fill="D9D9D9" w:themeFill="background1" w:themeFillShade="D9"/>
            <w:vAlign w:val="center"/>
            <w:hideMark/>
          </w:tcPr>
          <w:p w14:paraId="7C84DF08" w14:textId="77777777" w:rsidR="00587B73" w:rsidRPr="002150BE" w:rsidRDefault="00587B73" w:rsidP="00587B73">
            <w:pPr>
              <w:spacing w:after="0" w:line="240" w:lineRule="auto"/>
              <w:jc w:val="center"/>
              <w:rPr>
                <w:rFonts w:asciiTheme="minorHAnsi" w:hAnsiTheme="minorHAnsi" w:cstheme="minorHAnsi"/>
                <w:b/>
                <w:color w:val="3A3838"/>
                <w:sz w:val="16"/>
                <w:szCs w:val="18"/>
                <w:lang w:eastAsia="es-MX"/>
              </w:rPr>
            </w:pPr>
            <w:r w:rsidRPr="002150BE">
              <w:rPr>
                <w:rFonts w:asciiTheme="minorHAnsi" w:hAnsiTheme="minorHAnsi" w:cstheme="minorHAnsi"/>
                <w:b/>
                <w:color w:val="3A3838"/>
                <w:sz w:val="16"/>
                <w:szCs w:val="18"/>
                <w:lang w:eastAsia="es-MX"/>
              </w:rPr>
              <w:t>MIR</w:t>
            </w:r>
          </w:p>
        </w:tc>
        <w:tc>
          <w:tcPr>
            <w:tcW w:w="752" w:type="dxa"/>
            <w:shd w:val="clear" w:color="auto" w:fill="D9D9D9" w:themeFill="background1" w:themeFillShade="D9"/>
            <w:vAlign w:val="center"/>
          </w:tcPr>
          <w:p w14:paraId="106D2986" w14:textId="77777777" w:rsidR="00587B73" w:rsidRPr="002150BE" w:rsidRDefault="00587B73" w:rsidP="00587B73">
            <w:pPr>
              <w:spacing w:after="0" w:line="240" w:lineRule="auto"/>
              <w:jc w:val="center"/>
              <w:rPr>
                <w:rFonts w:asciiTheme="minorHAnsi" w:hAnsiTheme="minorHAnsi" w:cstheme="minorHAnsi"/>
                <w:b/>
                <w:color w:val="3A3838"/>
                <w:sz w:val="16"/>
                <w:szCs w:val="16"/>
                <w:lang w:eastAsia="es-MX"/>
              </w:rPr>
            </w:pPr>
            <w:r w:rsidRPr="002150BE">
              <w:rPr>
                <w:rFonts w:asciiTheme="minorHAnsi" w:hAnsiTheme="minorHAnsi" w:cstheme="minorHAnsi"/>
                <w:b/>
                <w:color w:val="3A3838"/>
                <w:sz w:val="13"/>
                <w:szCs w:val="15"/>
                <w:lang w:eastAsia="es-MX"/>
              </w:rPr>
              <w:t>Nivel del ISD</w:t>
            </w:r>
          </w:p>
        </w:tc>
        <w:tc>
          <w:tcPr>
            <w:tcW w:w="1134" w:type="dxa"/>
            <w:shd w:val="clear" w:color="auto" w:fill="D9D9D9" w:themeFill="background1" w:themeFillShade="D9"/>
            <w:vAlign w:val="center"/>
          </w:tcPr>
          <w:p w14:paraId="46DEB7A5" w14:textId="77777777" w:rsidR="00587B73" w:rsidRPr="002150BE" w:rsidRDefault="00587B73" w:rsidP="00587B73">
            <w:pPr>
              <w:spacing w:after="0" w:line="240" w:lineRule="auto"/>
              <w:jc w:val="center"/>
              <w:rPr>
                <w:rFonts w:asciiTheme="minorHAnsi" w:hAnsiTheme="minorHAnsi" w:cstheme="minorHAnsi"/>
                <w:b/>
                <w:color w:val="3A3838"/>
                <w:sz w:val="13"/>
                <w:szCs w:val="15"/>
                <w:lang w:eastAsia="es-MX"/>
              </w:rPr>
            </w:pPr>
            <w:r w:rsidRPr="002150BE">
              <w:rPr>
                <w:rFonts w:asciiTheme="minorHAnsi" w:hAnsiTheme="minorHAnsi" w:cstheme="minorHAnsi"/>
                <w:b/>
                <w:color w:val="3A3838"/>
                <w:sz w:val="13"/>
                <w:szCs w:val="15"/>
                <w:lang w:eastAsia="es-MX"/>
              </w:rPr>
              <w:t>Nivel de objetivo</w:t>
            </w:r>
          </w:p>
        </w:tc>
        <w:tc>
          <w:tcPr>
            <w:tcW w:w="1701" w:type="dxa"/>
            <w:gridSpan w:val="2"/>
            <w:shd w:val="clear" w:color="auto" w:fill="D9D9D9" w:themeFill="background1" w:themeFillShade="D9"/>
            <w:vAlign w:val="center"/>
            <w:hideMark/>
          </w:tcPr>
          <w:p w14:paraId="69381718" w14:textId="77777777" w:rsidR="00587B73" w:rsidRPr="002150BE" w:rsidRDefault="00587B73" w:rsidP="00587B73">
            <w:pPr>
              <w:spacing w:after="0" w:line="240" w:lineRule="auto"/>
              <w:jc w:val="center"/>
              <w:rPr>
                <w:rFonts w:asciiTheme="minorHAnsi" w:hAnsiTheme="minorHAnsi" w:cstheme="minorHAnsi"/>
                <w:b/>
                <w:color w:val="3A3838"/>
                <w:sz w:val="13"/>
                <w:szCs w:val="15"/>
                <w:lang w:eastAsia="es-MX"/>
              </w:rPr>
            </w:pPr>
            <w:r w:rsidRPr="002150BE">
              <w:rPr>
                <w:rFonts w:asciiTheme="minorHAnsi" w:hAnsiTheme="minorHAnsi" w:cstheme="minorHAnsi"/>
                <w:b/>
                <w:color w:val="3A3838"/>
                <w:sz w:val="13"/>
                <w:szCs w:val="15"/>
                <w:lang w:eastAsia="es-MX"/>
              </w:rPr>
              <w:t>Nombre del indicador</w:t>
            </w:r>
          </w:p>
        </w:tc>
        <w:tc>
          <w:tcPr>
            <w:tcW w:w="567" w:type="dxa"/>
            <w:shd w:val="clear" w:color="auto" w:fill="D9D9D9" w:themeFill="background1" w:themeFillShade="D9"/>
            <w:vAlign w:val="center"/>
            <w:hideMark/>
          </w:tcPr>
          <w:p w14:paraId="27DAF1FA" w14:textId="77777777" w:rsidR="00587B73" w:rsidRPr="002150BE" w:rsidRDefault="00587B73" w:rsidP="00587B73">
            <w:pPr>
              <w:spacing w:after="0" w:line="240" w:lineRule="auto"/>
              <w:jc w:val="center"/>
              <w:rPr>
                <w:rFonts w:asciiTheme="minorHAnsi" w:hAnsiTheme="minorHAnsi" w:cstheme="minorHAnsi"/>
                <w:b/>
                <w:color w:val="3A3838"/>
                <w:sz w:val="13"/>
                <w:szCs w:val="15"/>
                <w:lang w:eastAsia="es-MX"/>
              </w:rPr>
            </w:pPr>
            <w:r w:rsidRPr="002150BE">
              <w:rPr>
                <w:rFonts w:asciiTheme="minorHAnsi" w:hAnsiTheme="minorHAnsi" w:cstheme="minorHAnsi"/>
                <w:b/>
                <w:color w:val="3A3838"/>
                <w:sz w:val="13"/>
                <w:szCs w:val="15"/>
                <w:lang w:eastAsia="es-MX"/>
              </w:rPr>
              <w:t>Claro</w:t>
            </w:r>
          </w:p>
        </w:tc>
        <w:tc>
          <w:tcPr>
            <w:tcW w:w="851" w:type="dxa"/>
            <w:gridSpan w:val="3"/>
            <w:shd w:val="clear" w:color="auto" w:fill="D9D9D9" w:themeFill="background1" w:themeFillShade="D9"/>
            <w:vAlign w:val="center"/>
            <w:hideMark/>
          </w:tcPr>
          <w:p w14:paraId="1581B9C6" w14:textId="77777777" w:rsidR="00587B73" w:rsidRPr="002150BE" w:rsidRDefault="00587B73" w:rsidP="00587B73">
            <w:pPr>
              <w:spacing w:after="0" w:line="240" w:lineRule="auto"/>
              <w:jc w:val="center"/>
              <w:rPr>
                <w:rFonts w:asciiTheme="minorHAnsi" w:hAnsiTheme="minorHAnsi" w:cstheme="minorHAnsi"/>
                <w:b/>
                <w:color w:val="3A3838"/>
                <w:sz w:val="13"/>
                <w:szCs w:val="15"/>
                <w:lang w:eastAsia="es-MX"/>
              </w:rPr>
            </w:pPr>
            <w:r w:rsidRPr="002150BE">
              <w:rPr>
                <w:rFonts w:asciiTheme="minorHAnsi" w:hAnsiTheme="minorHAnsi" w:cstheme="minorHAnsi"/>
                <w:b/>
                <w:color w:val="3A3838"/>
                <w:sz w:val="13"/>
                <w:szCs w:val="15"/>
                <w:lang w:eastAsia="es-MX"/>
              </w:rPr>
              <w:t>Relevante</w:t>
            </w:r>
          </w:p>
        </w:tc>
        <w:tc>
          <w:tcPr>
            <w:tcW w:w="567" w:type="dxa"/>
            <w:shd w:val="clear" w:color="auto" w:fill="D9D9D9" w:themeFill="background1" w:themeFillShade="D9"/>
            <w:vAlign w:val="center"/>
            <w:hideMark/>
          </w:tcPr>
          <w:p w14:paraId="2CC08C04" w14:textId="77777777" w:rsidR="00587B73" w:rsidRPr="002150BE" w:rsidRDefault="00587B73" w:rsidP="00587B73">
            <w:pPr>
              <w:spacing w:after="0" w:line="240" w:lineRule="auto"/>
              <w:jc w:val="center"/>
              <w:rPr>
                <w:rFonts w:asciiTheme="minorHAnsi" w:hAnsiTheme="minorHAnsi" w:cstheme="minorHAnsi"/>
                <w:b/>
                <w:color w:val="3A3838"/>
                <w:sz w:val="13"/>
                <w:szCs w:val="15"/>
                <w:lang w:eastAsia="es-MX"/>
              </w:rPr>
            </w:pPr>
            <w:r w:rsidRPr="002150BE">
              <w:rPr>
                <w:rFonts w:asciiTheme="minorHAnsi" w:hAnsiTheme="minorHAnsi" w:cstheme="minorHAnsi"/>
                <w:b/>
                <w:color w:val="3A3838"/>
                <w:sz w:val="13"/>
                <w:szCs w:val="15"/>
                <w:lang w:eastAsia="es-MX"/>
              </w:rPr>
              <w:t>Económico</w:t>
            </w:r>
          </w:p>
        </w:tc>
        <w:tc>
          <w:tcPr>
            <w:tcW w:w="708" w:type="dxa"/>
            <w:gridSpan w:val="2"/>
            <w:shd w:val="clear" w:color="auto" w:fill="D9D9D9" w:themeFill="background1" w:themeFillShade="D9"/>
            <w:vAlign w:val="center"/>
            <w:hideMark/>
          </w:tcPr>
          <w:p w14:paraId="71C839EF" w14:textId="77777777" w:rsidR="00587B73" w:rsidRPr="002150BE" w:rsidRDefault="00587B73" w:rsidP="00587B73">
            <w:pPr>
              <w:spacing w:after="0" w:line="240" w:lineRule="auto"/>
              <w:jc w:val="center"/>
              <w:rPr>
                <w:rFonts w:asciiTheme="minorHAnsi" w:hAnsiTheme="minorHAnsi" w:cstheme="minorHAnsi"/>
                <w:b/>
                <w:color w:val="3A3838"/>
                <w:sz w:val="13"/>
                <w:szCs w:val="15"/>
                <w:lang w:eastAsia="es-MX"/>
              </w:rPr>
            </w:pPr>
            <w:r w:rsidRPr="002150BE">
              <w:rPr>
                <w:rFonts w:asciiTheme="minorHAnsi" w:hAnsiTheme="minorHAnsi" w:cstheme="minorHAnsi"/>
                <w:b/>
                <w:color w:val="3A3838"/>
                <w:sz w:val="13"/>
                <w:szCs w:val="15"/>
                <w:lang w:eastAsia="es-MX"/>
              </w:rPr>
              <w:t>Monitoreable</w:t>
            </w:r>
          </w:p>
        </w:tc>
        <w:tc>
          <w:tcPr>
            <w:tcW w:w="426" w:type="dxa"/>
            <w:shd w:val="clear" w:color="auto" w:fill="D9D9D9" w:themeFill="background1" w:themeFillShade="D9"/>
            <w:vAlign w:val="center"/>
            <w:hideMark/>
          </w:tcPr>
          <w:p w14:paraId="296386C7" w14:textId="77777777" w:rsidR="00587B73" w:rsidRPr="002150BE" w:rsidRDefault="00587B73" w:rsidP="00587B73">
            <w:pPr>
              <w:spacing w:after="0" w:line="240" w:lineRule="auto"/>
              <w:jc w:val="center"/>
              <w:rPr>
                <w:rFonts w:asciiTheme="minorHAnsi" w:hAnsiTheme="minorHAnsi" w:cstheme="minorHAnsi"/>
                <w:b/>
                <w:color w:val="3A3838"/>
                <w:sz w:val="13"/>
                <w:szCs w:val="15"/>
                <w:lang w:eastAsia="es-MX"/>
              </w:rPr>
            </w:pPr>
            <w:r w:rsidRPr="002150BE">
              <w:rPr>
                <w:rFonts w:asciiTheme="minorHAnsi" w:hAnsiTheme="minorHAnsi" w:cstheme="minorHAnsi"/>
                <w:b/>
                <w:color w:val="3A3838"/>
                <w:sz w:val="13"/>
                <w:szCs w:val="15"/>
                <w:lang w:eastAsia="es-MX"/>
              </w:rPr>
              <w:t>Adecuado</w:t>
            </w:r>
          </w:p>
        </w:tc>
        <w:tc>
          <w:tcPr>
            <w:tcW w:w="2396" w:type="dxa"/>
            <w:gridSpan w:val="4"/>
            <w:shd w:val="clear" w:color="auto" w:fill="D9D9D9" w:themeFill="background1" w:themeFillShade="D9"/>
            <w:vAlign w:val="center"/>
            <w:hideMark/>
          </w:tcPr>
          <w:p w14:paraId="6A364AFF" w14:textId="77777777" w:rsidR="00587B73" w:rsidRPr="002150BE" w:rsidRDefault="00587B73" w:rsidP="00587B73">
            <w:pPr>
              <w:spacing w:after="0" w:line="240" w:lineRule="auto"/>
              <w:jc w:val="center"/>
              <w:rPr>
                <w:rFonts w:asciiTheme="minorHAnsi" w:hAnsiTheme="minorHAnsi" w:cstheme="minorHAnsi"/>
                <w:b/>
                <w:color w:val="3A3838"/>
                <w:sz w:val="13"/>
                <w:szCs w:val="15"/>
                <w:lang w:eastAsia="es-MX"/>
              </w:rPr>
            </w:pPr>
            <w:r w:rsidRPr="002150BE">
              <w:rPr>
                <w:rFonts w:asciiTheme="minorHAnsi" w:hAnsiTheme="minorHAnsi" w:cstheme="minorHAnsi"/>
                <w:b/>
                <w:color w:val="3A3838"/>
                <w:sz w:val="13"/>
                <w:szCs w:val="15"/>
                <w:lang w:eastAsia="es-MX"/>
              </w:rPr>
              <w:t>Justificación</w:t>
            </w:r>
          </w:p>
        </w:tc>
      </w:tr>
      <w:tr w:rsidR="00587B73" w:rsidRPr="002150BE" w14:paraId="7233FFB5" w14:textId="77777777" w:rsidTr="003C4A56">
        <w:trPr>
          <w:trHeight w:val="285"/>
        </w:trPr>
        <w:tc>
          <w:tcPr>
            <w:tcW w:w="529" w:type="dxa"/>
            <w:vMerge/>
            <w:vAlign w:val="center"/>
            <w:hideMark/>
          </w:tcPr>
          <w:p w14:paraId="40DADDA8" w14:textId="77777777" w:rsidR="00587B73" w:rsidRPr="002150BE" w:rsidRDefault="00587B73" w:rsidP="00587B73">
            <w:pPr>
              <w:spacing w:after="0" w:line="240" w:lineRule="auto"/>
              <w:jc w:val="center"/>
              <w:rPr>
                <w:rFonts w:asciiTheme="minorHAnsi" w:hAnsiTheme="minorHAnsi" w:cstheme="minorHAnsi"/>
                <w:color w:val="3A3838"/>
                <w:sz w:val="16"/>
                <w:szCs w:val="18"/>
                <w:lang w:eastAsia="es-MX"/>
              </w:rPr>
            </w:pPr>
          </w:p>
        </w:tc>
        <w:tc>
          <w:tcPr>
            <w:tcW w:w="752" w:type="dxa"/>
            <w:vMerge w:val="restart"/>
            <w:shd w:val="clear" w:color="auto" w:fill="D9D9D9" w:themeFill="background1" w:themeFillShade="D9"/>
            <w:vAlign w:val="center"/>
          </w:tcPr>
          <w:p w14:paraId="2776454F" w14:textId="77777777" w:rsidR="00587B73" w:rsidRPr="002150BE" w:rsidRDefault="00587B73" w:rsidP="00587B73">
            <w:pPr>
              <w:spacing w:after="0" w:line="240" w:lineRule="auto"/>
              <w:jc w:val="center"/>
              <w:rPr>
                <w:rFonts w:asciiTheme="minorHAnsi" w:hAnsiTheme="minorHAnsi" w:cstheme="minorHAnsi"/>
                <w:b/>
                <w:sz w:val="14"/>
                <w:szCs w:val="16"/>
                <w:lang w:eastAsia="es-MX"/>
              </w:rPr>
            </w:pPr>
            <w:r w:rsidRPr="002150BE">
              <w:rPr>
                <w:rFonts w:asciiTheme="minorHAnsi" w:hAnsiTheme="minorHAnsi" w:cstheme="minorHAnsi"/>
                <w:b/>
                <w:sz w:val="14"/>
                <w:szCs w:val="16"/>
                <w:lang w:eastAsia="es-MX"/>
              </w:rPr>
              <w:t>Resultados</w:t>
            </w:r>
          </w:p>
        </w:tc>
        <w:tc>
          <w:tcPr>
            <w:tcW w:w="1134" w:type="dxa"/>
            <w:shd w:val="clear" w:color="auto" w:fill="F2F2F2" w:themeFill="background1" w:themeFillShade="F2"/>
            <w:vAlign w:val="center"/>
          </w:tcPr>
          <w:p w14:paraId="7F4DA1EA" w14:textId="77777777" w:rsidR="00587B73" w:rsidRPr="002150BE" w:rsidRDefault="00587B73" w:rsidP="00AA153F">
            <w:pPr>
              <w:spacing w:after="0" w:line="240" w:lineRule="auto"/>
              <w:jc w:val="center"/>
              <w:rPr>
                <w:rFonts w:asciiTheme="minorHAnsi" w:hAnsiTheme="minorHAnsi" w:cstheme="minorHAnsi"/>
                <w:color w:val="3A3838"/>
                <w:sz w:val="14"/>
                <w:szCs w:val="16"/>
                <w:lang w:eastAsia="es-MX"/>
              </w:rPr>
            </w:pPr>
            <w:r w:rsidRPr="002150BE">
              <w:rPr>
                <w:rFonts w:asciiTheme="minorHAnsi" w:hAnsiTheme="minorHAnsi" w:cstheme="minorHAnsi"/>
                <w:color w:val="3A3838"/>
                <w:sz w:val="14"/>
                <w:szCs w:val="16"/>
                <w:lang w:eastAsia="es-MX"/>
              </w:rPr>
              <w:t>Fin</w:t>
            </w:r>
          </w:p>
        </w:tc>
        <w:tc>
          <w:tcPr>
            <w:tcW w:w="1701" w:type="dxa"/>
            <w:gridSpan w:val="2"/>
            <w:vAlign w:val="center"/>
            <w:hideMark/>
          </w:tcPr>
          <w:p w14:paraId="60499361" w14:textId="06157FBF" w:rsidR="00587B73" w:rsidRPr="002150BE" w:rsidRDefault="003E0279" w:rsidP="00AA153F">
            <w:pPr>
              <w:spacing w:after="0" w:line="240" w:lineRule="auto"/>
              <w:jc w:val="center"/>
              <w:rPr>
                <w:rFonts w:asciiTheme="minorHAnsi" w:hAnsiTheme="minorHAnsi" w:cstheme="minorHAnsi"/>
                <w:color w:val="3A3838"/>
                <w:sz w:val="14"/>
                <w:szCs w:val="14"/>
                <w:lang w:eastAsia="es-MX"/>
              </w:rPr>
            </w:pPr>
            <w:r w:rsidRPr="002150BE">
              <w:rPr>
                <w:rFonts w:asciiTheme="minorHAnsi" w:hAnsiTheme="minorHAnsi" w:cstheme="minorHAnsi"/>
                <w:color w:val="3A3838"/>
                <w:sz w:val="14"/>
                <w:szCs w:val="14"/>
                <w:lang w:eastAsia="es-MX"/>
              </w:rPr>
              <w:t>Tasa de variación de la esperanza de escolaridad en Sinaloa; Grado promedio de escolaridad de la población de 15 y más años en Sinaloa</w:t>
            </w:r>
          </w:p>
        </w:tc>
        <w:tc>
          <w:tcPr>
            <w:tcW w:w="567" w:type="dxa"/>
            <w:vAlign w:val="center"/>
            <w:hideMark/>
          </w:tcPr>
          <w:p w14:paraId="01A7D65F" w14:textId="70C24FB0" w:rsidR="00587B73" w:rsidRPr="002150BE" w:rsidRDefault="00587B73" w:rsidP="00AA153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Sí</w:t>
            </w:r>
          </w:p>
        </w:tc>
        <w:tc>
          <w:tcPr>
            <w:tcW w:w="851" w:type="dxa"/>
            <w:gridSpan w:val="3"/>
            <w:vAlign w:val="center"/>
            <w:hideMark/>
          </w:tcPr>
          <w:p w14:paraId="1ED79DBB" w14:textId="7B6F4079" w:rsidR="00587B73" w:rsidRPr="002150BE" w:rsidRDefault="00587B73" w:rsidP="00AA153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Sí</w:t>
            </w:r>
          </w:p>
        </w:tc>
        <w:tc>
          <w:tcPr>
            <w:tcW w:w="567" w:type="dxa"/>
            <w:vAlign w:val="center"/>
            <w:hideMark/>
          </w:tcPr>
          <w:p w14:paraId="50CAD0A5" w14:textId="08500F64" w:rsidR="00587B73" w:rsidRPr="002150BE" w:rsidRDefault="00587B73" w:rsidP="00AA153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Sí</w:t>
            </w:r>
          </w:p>
        </w:tc>
        <w:tc>
          <w:tcPr>
            <w:tcW w:w="708" w:type="dxa"/>
            <w:gridSpan w:val="2"/>
            <w:vAlign w:val="center"/>
            <w:hideMark/>
          </w:tcPr>
          <w:p w14:paraId="0FB33AC0" w14:textId="0233757D" w:rsidR="00587B73" w:rsidRPr="002150BE" w:rsidRDefault="00587B73" w:rsidP="00AA153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Sí</w:t>
            </w:r>
          </w:p>
        </w:tc>
        <w:tc>
          <w:tcPr>
            <w:tcW w:w="426" w:type="dxa"/>
            <w:vAlign w:val="center"/>
            <w:hideMark/>
          </w:tcPr>
          <w:p w14:paraId="69E189A6" w14:textId="739E9F2C" w:rsidR="00587B73" w:rsidRPr="002150BE" w:rsidRDefault="00587B73" w:rsidP="00AA153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Sí</w:t>
            </w:r>
          </w:p>
        </w:tc>
        <w:tc>
          <w:tcPr>
            <w:tcW w:w="2396" w:type="dxa"/>
            <w:gridSpan w:val="4"/>
            <w:vAlign w:val="center"/>
            <w:hideMark/>
          </w:tcPr>
          <w:p w14:paraId="0C6AA476" w14:textId="263F17CD" w:rsidR="00587B73" w:rsidRPr="002150BE" w:rsidRDefault="00AA153F" w:rsidP="00AA153F">
            <w:pPr>
              <w:spacing w:after="0" w:line="240" w:lineRule="auto"/>
              <w:jc w:val="center"/>
              <w:rPr>
                <w:rFonts w:asciiTheme="minorHAnsi" w:hAnsiTheme="minorHAnsi" w:cstheme="minorHAnsi"/>
                <w:color w:val="3A3838"/>
                <w:sz w:val="14"/>
                <w:szCs w:val="14"/>
                <w:lang w:eastAsia="es-MX"/>
              </w:rPr>
            </w:pPr>
            <w:r w:rsidRPr="002150BE">
              <w:rPr>
                <w:rFonts w:asciiTheme="minorHAnsi" w:hAnsiTheme="minorHAnsi" w:cstheme="minorHAnsi"/>
                <w:color w:val="3A3838"/>
                <w:sz w:val="14"/>
                <w:szCs w:val="14"/>
                <w:lang w:eastAsia="es-MX"/>
              </w:rPr>
              <w:t>Los indicadores se formulan con definiciones precisas y utilizan fuentes oficiales (SEP e INEGI). Son relevantes porque reflejan el efecto agregado al que contribuye el Pp sobre el nivel educativo de la población. Son económicos y monitoreables al basarse en estadísticas ya generadas regularmente. Aunque la atribución directa a la UTC es limitada, son adecuados para el nivel Fin al medir cambios de largo plazo.</w:t>
            </w:r>
          </w:p>
        </w:tc>
      </w:tr>
      <w:tr w:rsidR="003C4A56" w:rsidRPr="002150BE" w14:paraId="6D30F75B" w14:textId="77777777" w:rsidTr="003C4A56">
        <w:trPr>
          <w:trHeight w:val="285"/>
        </w:trPr>
        <w:tc>
          <w:tcPr>
            <w:tcW w:w="529" w:type="dxa"/>
            <w:vMerge/>
            <w:vAlign w:val="center"/>
            <w:hideMark/>
          </w:tcPr>
          <w:p w14:paraId="4FE5AF79" w14:textId="77777777" w:rsidR="00AA153F" w:rsidRPr="002150BE" w:rsidRDefault="00AA153F" w:rsidP="00AA153F">
            <w:pPr>
              <w:spacing w:after="0" w:line="240" w:lineRule="auto"/>
              <w:jc w:val="center"/>
              <w:rPr>
                <w:rFonts w:asciiTheme="minorHAnsi" w:hAnsiTheme="minorHAnsi" w:cstheme="minorHAnsi"/>
                <w:color w:val="3A3838"/>
                <w:sz w:val="16"/>
                <w:szCs w:val="18"/>
                <w:lang w:eastAsia="es-MX"/>
              </w:rPr>
            </w:pPr>
          </w:p>
        </w:tc>
        <w:tc>
          <w:tcPr>
            <w:tcW w:w="752" w:type="dxa"/>
            <w:vMerge/>
            <w:shd w:val="clear" w:color="auto" w:fill="D9D9D9" w:themeFill="background1" w:themeFillShade="D9"/>
            <w:noWrap/>
            <w:vAlign w:val="center"/>
          </w:tcPr>
          <w:p w14:paraId="3989A460" w14:textId="77777777" w:rsidR="00AA153F" w:rsidRPr="002150BE" w:rsidRDefault="00AA153F" w:rsidP="00AA153F">
            <w:pPr>
              <w:spacing w:after="0" w:line="240" w:lineRule="auto"/>
              <w:jc w:val="center"/>
              <w:rPr>
                <w:rFonts w:asciiTheme="minorHAnsi" w:hAnsiTheme="minorHAnsi" w:cstheme="minorHAnsi"/>
                <w:b/>
                <w:sz w:val="14"/>
                <w:szCs w:val="16"/>
                <w:lang w:eastAsia="es-MX"/>
              </w:rPr>
            </w:pPr>
          </w:p>
        </w:tc>
        <w:tc>
          <w:tcPr>
            <w:tcW w:w="1134" w:type="dxa"/>
            <w:shd w:val="clear" w:color="auto" w:fill="F2F2F2" w:themeFill="background1" w:themeFillShade="F2"/>
            <w:vAlign w:val="center"/>
          </w:tcPr>
          <w:p w14:paraId="7073D488" w14:textId="77777777" w:rsidR="00AA153F" w:rsidRPr="002150BE" w:rsidRDefault="00AA153F" w:rsidP="00AA153F">
            <w:pPr>
              <w:spacing w:after="0" w:line="240" w:lineRule="auto"/>
              <w:jc w:val="center"/>
              <w:rPr>
                <w:rFonts w:asciiTheme="minorHAnsi" w:hAnsiTheme="minorHAnsi" w:cstheme="minorHAnsi"/>
                <w:color w:val="3A3838"/>
                <w:sz w:val="14"/>
                <w:szCs w:val="16"/>
                <w:lang w:eastAsia="es-MX"/>
              </w:rPr>
            </w:pPr>
            <w:r w:rsidRPr="002150BE">
              <w:rPr>
                <w:rFonts w:asciiTheme="minorHAnsi" w:hAnsiTheme="minorHAnsi" w:cstheme="minorHAnsi"/>
                <w:color w:val="3A3838"/>
                <w:sz w:val="14"/>
                <w:szCs w:val="16"/>
                <w:lang w:eastAsia="es-MX"/>
              </w:rPr>
              <w:t>Propósito</w:t>
            </w:r>
          </w:p>
        </w:tc>
        <w:tc>
          <w:tcPr>
            <w:tcW w:w="1701" w:type="dxa"/>
            <w:gridSpan w:val="2"/>
            <w:vAlign w:val="center"/>
            <w:hideMark/>
          </w:tcPr>
          <w:p w14:paraId="26AD678F" w14:textId="5D3EE568" w:rsidR="00AA153F" w:rsidRPr="002150BE" w:rsidRDefault="00AA153F" w:rsidP="00AA153F">
            <w:pPr>
              <w:spacing w:after="0" w:line="240" w:lineRule="auto"/>
              <w:jc w:val="center"/>
              <w:rPr>
                <w:rFonts w:asciiTheme="minorHAnsi" w:hAnsiTheme="minorHAnsi" w:cstheme="minorHAnsi"/>
                <w:color w:val="3A3838"/>
                <w:sz w:val="14"/>
                <w:szCs w:val="14"/>
                <w:lang w:eastAsia="es-MX"/>
              </w:rPr>
            </w:pPr>
            <w:r w:rsidRPr="002150BE">
              <w:rPr>
                <w:rFonts w:asciiTheme="minorHAnsi" w:hAnsiTheme="minorHAnsi" w:cstheme="minorHAnsi"/>
                <w:color w:val="3A3838"/>
                <w:sz w:val="14"/>
                <w:szCs w:val="14"/>
                <w:lang w:eastAsia="es-MX"/>
              </w:rPr>
              <w:t>Porcentaje de matrícula de educación superior que logra la UTC</w:t>
            </w:r>
          </w:p>
        </w:tc>
        <w:tc>
          <w:tcPr>
            <w:tcW w:w="567" w:type="dxa"/>
            <w:vAlign w:val="center"/>
            <w:hideMark/>
          </w:tcPr>
          <w:p w14:paraId="656AA00E" w14:textId="072DC0F3" w:rsidR="00AA153F" w:rsidRPr="002150BE" w:rsidRDefault="00AA153F" w:rsidP="00AA153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Sí</w:t>
            </w:r>
          </w:p>
        </w:tc>
        <w:tc>
          <w:tcPr>
            <w:tcW w:w="851" w:type="dxa"/>
            <w:gridSpan w:val="3"/>
            <w:vAlign w:val="center"/>
            <w:hideMark/>
          </w:tcPr>
          <w:p w14:paraId="468B2163" w14:textId="6D4645F3" w:rsidR="00AA153F" w:rsidRPr="002150BE" w:rsidRDefault="00AA153F" w:rsidP="00AA153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Sí</w:t>
            </w:r>
          </w:p>
        </w:tc>
        <w:tc>
          <w:tcPr>
            <w:tcW w:w="567" w:type="dxa"/>
            <w:vAlign w:val="center"/>
            <w:hideMark/>
          </w:tcPr>
          <w:p w14:paraId="628CA6CF" w14:textId="7936E30A" w:rsidR="00AA153F" w:rsidRPr="002150BE" w:rsidRDefault="00AA153F" w:rsidP="00AA153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Sí</w:t>
            </w:r>
          </w:p>
        </w:tc>
        <w:tc>
          <w:tcPr>
            <w:tcW w:w="708" w:type="dxa"/>
            <w:gridSpan w:val="2"/>
            <w:vAlign w:val="center"/>
            <w:hideMark/>
          </w:tcPr>
          <w:p w14:paraId="48E836DB" w14:textId="236AB364" w:rsidR="00AA153F" w:rsidRPr="002150BE" w:rsidRDefault="00AA153F" w:rsidP="00AA153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Sí</w:t>
            </w:r>
          </w:p>
        </w:tc>
        <w:tc>
          <w:tcPr>
            <w:tcW w:w="426" w:type="dxa"/>
            <w:vAlign w:val="center"/>
            <w:hideMark/>
          </w:tcPr>
          <w:p w14:paraId="0F8D395E" w14:textId="376BB199" w:rsidR="00AA153F" w:rsidRPr="002150BE" w:rsidRDefault="00AA153F" w:rsidP="00AA153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Sí</w:t>
            </w:r>
          </w:p>
        </w:tc>
        <w:tc>
          <w:tcPr>
            <w:tcW w:w="2396" w:type="dxa"/>
            <w:gridSpan w:val="4"/>
            <w:vAlign w:val="center"/>
            <w:hideMark/>
          </w:tcPr>
          <w:p w14:paraId="37DE7B67" w14:textId="1137351D" w:rsidR="00AA153F" w:rsidRPr="002150BE" w:rsidRDefault="00AA153F" w:rsidP="00AA153F">
            <w:pPr>
              <w:spacing w:after="0" w:line="240" w:lineRule="auto"/>
              <w:jc w:val="center"/>
              <w:rPr>
                <w:rFonts w:asciiTheme="minorHAnsi" w:hAnsiTheme="minorHAnsi" w:cstheme="minorHAnsi"/>
                <w:color w:val="3A3838"/>
                <w:sz w:val="14"/>
                <w:szCs w:val="14"/>
                <w:lang w:eastAsia="es-MX"/>
              </w:rPr>
            </w:pPr>
            <w:r w:rsidRPr="002150BE">
              <w:rPr>
                <w:rFonts w:asciiTheme="minorHAnsi" w:hAnsiTheme="minorHAnsi" w:cstheme="minorHAnsi"/>
                <w:color w:val="3A3838"/>
                <w:sz w:val="14"/>
                <w:szCs w:val="14"/>
                <w:lang w:eastAsia="es-MX"/>
              </w:rPr>
              <w:t>El indicador es claro en su denominador y numerador, relevante para medir la contribución específica de la UTC en la cobertura de educación superior en Sinaloa, económico porque se calcula con información administrativa existente e INEGI, y monitoreable anualmente. Es adecuado porque refleja el logro directo del propósito del Pp.</w:t>
            </w:r>
          </w:p>
        </w:tc>
      </w:tr>
      <w:tr w:rsidR="003C4A56" w:rsidRPr="002150BE" w14:paraId="3848E471" w14:textId="77777777" w:rsidTr="003C4A56">
        <w:trPr>
          <w:trHeight w:val="285"/>
        </w:trPr>
        <w:tc>
          <w:tcPr>
            <w:tcW w:w="529" w:type="dxa"/>
            <w:vMerge/>
            <w:vAlign w:val="center"/>
            <w:hideMark/>
          </w:tcPr>
          <w:p w14:paraId="0A8E4F34" w14:textId="77777777" w:rsidR="00AA153F" w:rsidRPr="002150BE" w:rsidRDefault="00AA153F" w:rsidP="00AA153F">
            <w:pPr>
              <w:spacing w:after="0" w:line="240" w:lineRule="auto"/>
              <w:jc w:val="center"/>
              <w:rPr>
                <w:rFonts w:asciiTheme="minorHAnsi" w:hAnsiTheme="minorHAnsi" w:cstheme="minorHAnsi"/>
                <w:color w:val="3A3838"/>
                <w:sz w:val="16"/>
                <w:szCs w:val="18"/>
                <w:lang w:eastAsia="es-MX"/>
              </w:rPr>
            </w:pPr>
          </w:p>
        </w:tc>
        <w:tc>
          <w:tcPr>
            <w:tcW w:w="752" w:type="dxa"/>
            <w:vMerge w:val="restart"/>
            <w:shd w:val="clear" w:color="auto" w:fill="D9D9D9" w:themeFill="background1" w:themeFillShade="D9"/>
            <w:noWrap/>
            <w:vAlign w:val="center"/>
          </w:tcPr>
          <w:p w14:paraId="10813C29" w14:textId="77777777" w:rsidR="00AA153F" w:rsidRPr="002150BE" w:rsidRDefault="00AA153F" w:rsidP="00AA153F">
            <w:pPr>
              <w:spacing w:after="0" w:line="240" w:lineRule="auto"/>
              <w:jc w:val="center"/>
              <w:rPr>
                <w:rFonts w:asciiTheme="minorHAnsi" w:hAnsiTheme="minorHAnsi" w:cstheme="minorHAnsi"/>
                <w:b/>
                <w:sz w:val="14"/>
                <w:szCs w:val="16"/>
                <w:lang w:eastAsia="es-MX"/>
              </w:rPr>
            </w:pPr>
            <w:r w:rsidRPr="002150BE">
              <w:rPr>
                <w:rFonts w:asciiTheme="minorHAnsi" w:hAnsiTheme="minorHAnsi" w:cstheme="minorHAnsi"/>
                <w:b/>
                <w:sz w:val="14"/>
                <w:szCs w:val="16"/>
                <w:lang w:eastAsia="es-MX"/>
              </w:rPr>
              <w:t>Gestión</w:t>
            </w:r>
          </w:p>
        </w:tc>
        <w:tc>
          <w:tcPr>
            <w:tcW w:w="1134" w:type="dxa"/>
            <w:shd w:val="clear" w:color="auto" w:fill="F2F2F2" w:themeFill="background1" w:themeFillShade="F2"/>
            <w:vAlign w:val="center"/>
          </w:tcPr>
          <w:p w14:paraId="48EDA232" w14:textId="77777777" w:rsidR="00AA153F" w:rsidRPr="002150BE" w:rsidRDefault="00AA153F" w:rsidP="00AA153F">
            <w:pPr>
              <w:spacing w:after="0" w:line="240" w:lineRule="auto"/>
              <w:rPr>
                <w:rFonts w:asciiTheme="minorHAnsi" w:hAnsiTheme="minorHAnsi" w:cstheme="minorHAnsi"/>
                <w:color w:val="3A3838"/>
                <w:sz w:val="14"/>
                <w:szCs w:val="14"/>
                <w:lang w:eastAsia="es-MX"/>
              </w:rPr>
            </w:pPr>
            <w:r w:rsidRPr="002150BE">
              <w:rPr>
                <w:rFonts w:asciiTheme="minorHAnsi" w:hAnsiTheme="minorHAnsi" w:cstheme="minorHAnsi"/>
                <w:color w:val="3A3838"/>
                <w:sz w:val="14"/>
                <w:szCs w:val="14"/>
                <w:lang w:eastAsia="es-MX"/>
              </w:rPr>
              <w:t>Componente</w:t>
            </w:r>
          </w:p>
        </w:tc>
        <w:tc>
          <w:tcPr>
            <w:tcW w:w="1701" w:type="dxa"/>
            <w:gridSpan w:val="2"/>
            <w:noWrap/>
            <w:vAlign w:val="center"/>
            <w:hideMark/>
          </w:tcPr>
          <w:p w14:paraId="5F7445EF" w14:textId="456CD171" w:rsidR="00AA153F" w:rsidRPr="002150BE" w:rsidRDefault="00AA153F" w:rsidP="00AA153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Porcentaje de programas educativos ofertados; Porcentaje de programas acreditados; Docentes por cada cien alumnos; % de docentes con maestría, doctorado, SNI, SSIT y de tiempo completo; Alumnos promedio por salón; % formatos de transparencia publicados; % informes de armonización y disciplina financiera; % solicitudes de acceso a la información atendidas</w:t>
            </w:r>
          </w:p>
        </w:tc>
        <w:tc>
          <w:tcPr>
            <w:tcW w:w="567" w:type="dxa"/>
            <w:vAlign w:val="center"/>
            <w:hideMark/>
          </w:tcPr>
          <w:p w14:paraId="0AABBFA3" w14:textId="256FE516" w:rsidR="00AA153F" w:rsidRPr="002150BE" w:rsidRDefault="00AA153F" w:rsidP="00AA153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Sí</w:t>
            </w:r>
          </w:p>
        </w:tc>
        <w:tc>
          <w:tcPr>
            <w:tcW w:w="851" w:type="dxa"/>
            <w:gridSpan w:val="3"/>
            <w:vAlign w:val="center"/>
            <w:hideMark/>
          </w:tcPr>
          <w:p w14:paraId="79E39392" w14:textId="31711B2E" w:rsidR="00AA153F" w:rsidRPr="002150BE" w:rsidRDefault="00AA153F" w:rsidP="00AA153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Sí</w:t>
            </w:r>
          </w:p>
        </w:tc>
        <w:tc>
          <w:tcPr>
            <w:tcW w:w="567" w:type="dxa"/>
            <w:vAlign w:val="center"/>
            <w:hideMark/>
          </w:tcPr>
          <w:p w14:paraId="2AA1538F" w14:textId="57CC058E" w:rsidR="00AA153F" w:rsidRPr="002150BE" w:rsidRDefault="00AA153F" w:rsidP="00AA153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Sí</w:t>
            </w:r>
          </w:p>
        </w:tc>
        <w:tc>
          <w:tcPr>
            <w:tcW w:w="708" w:type="dxa"/>
            <w:gridSpan w:val="2"/>
            <w:vAlign w:val="center"/>
            <w:hideMark/>
          </w:tcPr>
          <w:p w14:paraId="0A0F50D2" w14:textId="5574814A" w:rsidR="00AA153F" w:rsidRPr="002150BE" w:rsidRDefault="00AA153F" w:rsidP="00AA153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Sí</w:t>
            </w:r>
          </w:p>
        </w:tc>
        <w:tc>
          <w:tcPr>
            <w:tcW w:w="426" w:type="dxa"/>
            <w:vAlign w:val="center"/>
            <w:hideMark/>
          </w:tcPr>
          <w:p w14:paraId="089C40CA" w14:textId="5BF75AF4" w:rsidR="00AA153F" w:rsidRPr="002150BE" w:rsidRDefault="00AA153F" w:rsidP="00AA153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Sí</w:t>
            </w:r>
          </w:p>
        </w:tc>
        <w:tc>
          <w:tcPr>
            <w:tcW w:w="2396" w:type="dxa"/>
            <w:gridSpan w:val="4"/>
            <w:noWrap/>
            <w:vAlign w:val="center"/>
            <w:hideMark/>
          </w:tcPr>
          <w:p w14:paraId="6D6E3735" w14:textId="5367EAB3" w:rsidR="00AA153F" w:rsidRPr="002150BE" w:rsidRDefault="00AA153F" w:rsidP="00AA153F">
            <w:pPr>
              <w:spacing w:after="0" w:line="240" w:lineRule="auto"/>
              <w:jc w:val="center"/>
              <w:rPr>
                <w:rFonts w:asciiTheme="minorHAnsi" w:hAnsiTheme="minorHAnsi" w:cstheme="minorHAnsi"/>
                <w:color w:val="3A3838"/>
                <w:sz w:val="14"/>
                <w:szCs w:val="14"/>
                <w:lang w:eastAsia="es-MX"/>
              </w:rPr>
            </w:pPr>
            <w:r w:rsidRPr="002150BE">
              <w:rPr>
                <w:rFonts w:asciiTheme="minorHAnsi" w:hAnsiTheme="minorHAnsi" w:cstheme="minorHAnsi"/>
                <w:color w:val="3A3838"/>
                <w:sz w:val="14"/>
                <w:szCs w:val="14"/>
                <w:lang w:eastAsia="es-MX"/>
              </w:rPr>
              <w:t>El conjunto de indicadores cubre la oferta académica, el perfil y disponibilidad de docentes, la capacidad de infraestructura y la gestión administrativa, alineándose con los cuatro componentes. Son pertinentes para la operación del Pp, se calculan con datos internos (Avances trimestrales, PNT, armonización contable), lo que los hace económicos y monitoreables. Son adecuados porque permiten identificar cuellos de botella en insumos y procesos clave.</w:t>
            </w:r>
          </w:p>
        </w:tc>
      </w:tr>
      <w:tr w:rsidR="003C4A56" w:rsidRPr="002150BE" w14:paraId="0530EFA5" w14:textId="77777777" w:rsidTr="003C4A56">
        <w:trPr>
          <w:trHeight w:val="299"/>
        </w:trPr>
        <w:tc>
          <w:tcPr>
            <w:tcW w:w="529" w:type="dxa"/>
            <w:vMerge/>
            <w:vAlign w:val="center"/>
            <w:hideMark/>
          </w:tcPr>
          <w:p w14:paraId="5F708403" w14:textId="77777777" w:rsidR="00AA153F" w:rsidRPr="002150BE" w:rsidRDefault="00AA153F" w:rsidP="00AA153F">
            <w:pPr>
              <w:spacing w:after="0" w:line="240" w:lineRule="auto"/>
              <w:jc w:val="center"/>
              <w:rPr>
                <w:rFonts w:asciiTheme="minorHAnsi" w:hAnsiTheme="minorHAnsi" w:cstheme="minorHAnsi"/>
                <w:color w:val="3A3838"/>
                <w:sz w:val="16"/>
                <w:szCs w:val="18"/>
                <w:lang w:eastAsia="es-MX"/>
              </w:rPr>
            </w:pPr>
          </w:p>
        </w:tc>
        <w:tc>
          <w:tcPr>
            <w:tcW w:w="752" w:type="dxa"/>
            <w:vMerge/>
            <w:shd w:val="clear" w:color="auto" w:fill="D9D9D9" w:themeFill="background1" w:themeFillShade="D9"/>
            <w:noWrap/>
            <w:vAlign w:val="center"/>
          </w:tcPr>
          <w:p w14:paraId="7A85536F" w14:textId="77777777" w:rsidR="00AA153F" w:rsidRPr="002150BE" w:rsidRDefault="00AA153F" w:rsidP="00AA153F">
            <w:pPr>
              <w:spacing w:after="0" w:line="240" w:lineRule="auto"/>
              <w:jc w:val="center"/>
              <w:rPr>
                <w:rFonts w:asciiTheme="minorHAnsi" w:hAnsiTheme="minorHAnsi" w:cstheme="minorHAnsi"/>
                <w:b/>
                <w:sz w:val="14"/>
                <w:szCs w:val="16"/>
                <w:lang w:eastAsia="es-MX"/>
              </w:rPr>
            </w:pPr>
          </w:p>
        </w:tc>
        <w:tc>
          <w:tcPr>
            <w:tcW w:w="1134" w:type="dxa"/>
            <w:shd w:val="clear" w:color="auto" w:fill="F2F2F2" w:themeFill="background1" w:themeFillShade="F2"/>
            <w:vAlign w:val="center"/>
          </w:tcPr>
          <w:p w14:paraId="67DEBC30" w14:textId="77777777" w:rsidR="00AA153F" w:rsidRPr="002150BE" w:rsidRDefault="00AA153F" w:rsidP="00AA153F">
            <w:pPr>
              <w:spacing w:after="0" w:line="240" w:lineRule="auto"/>
              <w:rPr>
                <w:rFonts w:asciiTheme="minorHAnsi" w:hAnsiTheme="minorHAnsi" w:cstheme="minorHAnsi"/>
                <w:color w:val="3A3838"/>
                <w:sz w:val="14"/>
                <w:szCs w:val="14"/>
                <w:lang w:eastAsia="es-MX"/>
              </w:rPr>
            </w:pPr>
            <w:r w:rsidRPr="002150BE">
              <w:rPr>
                <w:rFonts w:asciiTheme="minorHAnsi" w:hAnsiTheme="minorHAnsi" w:cstheme="minorHAnsi"/>
                <w:color w:val="3A3838"/>
                <w:sz w:val="14"/>
                <w:szCs w:val="14"/>
                <w:lang w:eastAsia="es-MX"/>
              </w:rPr>
              <w:t>Actividades</w:t>
            </w:r>
          </w:p>
        </w:tc>
        <w:tc>
          <w:tcPr>
            <w:tcW w:w="1701" w:type="dxa"/>
            <w:gridSpan w:val="2"/>
            <w:noWrap/>
            <w:vAlign w:val="center"/>
            <w:hideMark/>
          </w:tcPr>
          <w:p w14:paraId="66E668CF" w14:textId="17039A52" w:rsidR="00AA153F" w:rsidRPr="002150BE" w:rsidRDefault="00AA153F" w:rsidP="00AA153F">
            <w:pPr>
              <w:spacing w:after="0" w:line="240" w:lineRule="auto"/>
              <w:jc w:val="center"/>
              <w:rPr>
                <w:rFonts w:asciiTheme="minorHAnsi" w:hAnsiTheme="minorHAnsi" w:cstheme="minorHAnsi"/>
                <w:sz w:val="14"/>
                <w:szCs w:val="14"/>
                <w:lang w:eastAsia="es-MX"/>
              </w:rPr>
            </w:pPr>
            <w:r w:rsidRPr="002150BE">
              <w:rPr>
                <w:rFonts w:asciiTheme="minorHAnsi" w:hAnsiTheme="minorHAnsi" w:cstheme="minorHAnsi"/>
                <w:sz w:val="14"/>
                <w:szCs w:val="14"/>
                <w:lang w:eastAsia="es-MX"/>
              </w:rPr>
              <w:t xml:space="preserve">% asistencia a expo universidades; % estudiantes que cursan estadía de prácticas </w:t>
            </w:r>
            <w:r w:rsidRPr="002150BE">
              <w:rPr>
                <w:rFonts w:asciiTheme="minorHAnsi" w:hAnsiTheme="minorHAnsi" w:cstheme="minorHAnsi"/>
                <w:sz w:val="14"/>
                <w:szCs w:val="14"/>
                <w:lang w:eastAsia="es-MX"/>
              </w:rPr>
              <w:lastRenderedPageBreak/>
              <w:t>profesionales; % convenios suscritos para participación estudiantil; % avance en encuestas de seguimiento de egresados; % profesores capacitados y habilitados; % avance acciones de mantenimiento; suficiencia de internet; promedio de acervo bibliográfico y % avance en acervos electrónicos; % actualización del marco normativo; suficiencia de plazas administrativas; tasa de variación de aportaciones federales y estatales; costo promedio por alumno; % regularización de predios</w:t>
            </w:r>
          </w:p>
        </w:tc>
        <w:tc>
          <w:tcPr>
            <w:tcW w:w="567" w:type="dxa"/>
            <w:vAlign w:val="center"/>
            <w:hideMark/>
          </w:tcPr>
          <w:p w14:paraId="304FB234" w14:textId="5B6D032E" w:rsidR="00AA153F" w:rsidRPr="002150BE" w:rsidRDefault="00AA153F" w:rsidP="00AA153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lastRenderedPageBreak/>
              <w:t>Sí</w:t>
            </w:r>
          </w:p>
        </w:tc>
        <w:tc>
          <w:tcPr>
            <w:tcW w:w="851" w:type="dxa"/>
            <w:gridSpan w:val="3"/>
            <w:vAlign w:val="center"/>
            <w:hideMark/>
          </w:tcPr>
          <w:p w14:paraId="7C744908" w14:textId="63F969BB" w:rsidR="00AA153F" w:rsidRPr="002150BE" w:rsidRDefault="00AA153F" w:rsidP="00AA153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Sí</w:t>
            </w:r>
          </w:p>
        </w:tc>
        <w:tc>
          <w:tcPr>
            <w:tcW w:w="567" w:type="dxa"/>
            <w:vAlign w:val="center"/>
            <w:hideMark/>
          </w:tcPr>
          <w:p w14:paraId="1422B770" w14:textId="0807BFD9" w:rsidR="00AA153F" w:rsidRPr="002150BE" w:rsidRDefault="00AA153F" w:rsidP="00AA153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Sí</w:t>
            </w:r>
          </w:p>
        </w:tc>
        <w:tc>
          <w:tcPr>
            <w:tcW w:w="708" w:type="dxa"/>
            <w:gridSpan w:val="2"/>
            <w:vAlign w:val="center"/>
            <w:hideMark/>
          </w:tcPr>
          <w:p w14:paraId="12E3FD29" w14:textId="358C92CA" w:rsidR="00AA153F" w:rsidRPr="002150BE" w:rsidRDefault="00AA153F" w:rsidP="00AA153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Sí</w:t>
            </w:r>
          </w:p>
        </w:tc>
        <w:tc>
          <w:tcPr>
            <w:tcW w:w="426" w:type="dxa"/>
            <w:vAlign w:val="center"/>
            <w:hideMark/>
          </w:tcPr>
          <w:p w14:paraId="4F73CD95" w14:textId="20239129" w:rsidR="00AA153F" w:rsidRPr="002150BE" w:rsidRDefault="00AA153F" w:rsidP="00AA153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Sí</w:t>
            </w:r>
          </w:p>
        </w:tc>
        <w:tc>
          <w:tcPr>
            <w:tcW w:w="2396" w:type="dxa"/>
            <w:gridSpan w:val="4"/>
            <w:noWrap/>
            <w:vAlign w:val="center"/>
            <w:hideMark/>
          </w:tcPr>
          <w:p w14:paraId="28A2B61B" w14:textId="31262EC9" w:rsidR="00AA153F" w:rsidRPr="002150BE" w:rsidRDefault="00AA153F" w:rsidP="00AA153F">
            <w:pPr>
              <w:spacing w:after="0" w:line="240" w:lineRule="auto"/>
              <w:jc w:val="center"/>
              <w:rPr>
                <w:rFonts w:asciiTheme="minorHAnsi" w:hAnsiTheme="minorHAnsi" w:cstheme="minorHAnsi"/>
                <w:color w:val="3A3838"/>
                <w:sz w:val="14"/>
                <w:szCs w:val="14"/>
                <w:lang w:eastAsia="es-MX"/>
              </w:rPr>
            </w:pPr>
            <w:r w:rsidRPr="002150BE">
              <w:rPr>
                <w:rFonts w:asciiTheme="minorHAnsi" w:hAnsiTheme="minorHAnsi" w:cstheme="minorHAnsi"/>
                <w:color w:val="3A3838"/>
                <w:sz w:val="14"/>
                <w:szCs w:val="14"/>
                <w:lang w:eastAsia="es-MX"/>
              </w:rPr>
              <w:t xml:space="preserve">Los indicadores de actividades describen el grado de ejecución de las principales líneas de acción del Pp (promoción, prácticas, seguimiento de </w:t>
            </w:r>
            <w:r w:rsidRPr="002150BE">
              <w:rPr>
                <w:rFonts w:asciiTheme="minorHAnsi" w:hAnsiTheme="minorHAnsi" w:cstheme="minorHAnsi"/>
                <w:color w:val="3A3838"/>
                <w:sz w:val="14"/>
                <w:szCs w:val="14"/>
                <w:lang w:eastAsia="es-MX"/>
              </w:rPr>
              <w:lastRenderedPageBreak/>
              <w:t>egresados, capacitación docente, mantenimiento, tecnologías, acervo, normatividad, recursos y regularización de predios). Son claros, relevantes para el logro de componentes y propósito, se alimentan de registros administrativos ya existentes, lo que reduce su costo, y pueden monitorearse trimestral o anualmente. Son adecuados porque permiten gestionar la operación cotidiana del Pp.</w:t>
            </w:r>
          </w:p>
        </w:tc>
      </w:tr>
      <w:tr w:rsidR="00C51640" w:rsidRPr="002150BE" w14:paraId="24F0D3A3" w14:textId="77777777" w:rsidTr="003C4A56">
        <w:trPr>
          <w:trHeight w:val="370"/>
        </w:trPr>
        <w:tc>
          <w:tcPr>
            <w:tcW w:w="529" w:type="dxa"/>
            <w:vMerge w:val="restart"/>
            <w:shd w:val="clear" w:color="auto" w:fill="D9D9D9" w:themeFill="background1" w:themeFillShade="D9"/>
            <w:noWrap/>
            <w:vAlign w:val="center"/>
            <w:hideMark/>
          </w:tcPr>
          <w:p w14:paraId="41664B82" w14:textId="77777777" w:rsidR="00AA153F" w:rsidRPr="002150BE" w:rsidRDefault="00AA153F" w:rsidP="00AA153F">
            <w:pPr>
              <w:spacing w:after="0" w:line="240" w:lineRule="auto"/>
              <w:jc w:val="center"/>
              <w:rPr>
                <w:rFonts w:asciiTheme="minorHAnsi" w:hAnsiTheme="minorHAnsi" w:cstheme="minorHAnsi"/>
                <w:b/>
                <w:color w:val="000000"/>
                <w:sz w:val="16"/>
                <w:szCs w:val="18"/>
                <w:lang w:eastAsia="es-MX"/>
              </w:rPr>
            </w:pPr>
            <w:r w:rsidRPr="002150BE">
              <w:rPr>
                <w:rFonts w:asciiTheme="minorHAnsi" w:hAnsiTheme="minorHAnsi" w:cstheme="minorHAnsi"/>
                <w:b/>
                <w:color w:val="3A3838"/>
                <w:sz w:val="16"/>
                <w:szCs w:val="18"/>
                <w:lang w:eastAsia="es-MX"/>
              </w:rPr>
              <w:lastRenderedPageBreak/>
              <w:t>FID</w:t>
            </w:r>
          </w:p>
        </w:tc>
        <w:tc>
          <w:tcPr>
            <w:tcW w:w="752" w:type="dxa"/>
            <w:shd w:val="clear" w:color="auto" w:fill="D9D9D9" w:themeFill="background1" w:themeFillShade="D9"/>
            <w:noWrap/>
            <w:vAlign w:val="center"/>
          </w:tcPr>
          <w:p w14:paraId="0C6B8768" w14:textId="77777777" w:rsidR="00AA153F" w:rsidRPr="002150BE" w:rsidRDefault="00AA153F" w:rsidP="00AA153F">
            <w:pPr>
              <w:spacing w:after="0" w:line="240" w:lineRule="auto"/>
              <w:jc w:val="center"/>
              <w:rPr>
                <w:rFonts w:asciiTheme="minorHAnsi" w:hAnsiTheme="minorHAnsi" w:cstheme="minorHAnsi"/>
                <w:b/>
                <w:sz w:val="14"/>
                <w:szCs w:val="16"/>
                <w:lang w:eastAsia="es-MX"/>
              </w:rPr>
            </w:pPr>
            <w:r w:rsidRPr="002150BE">
              <w:rPr>
                <w:rFonts w:asciiTheme="minorHAnsi" w:hAnsiTheme="minorHAnsi" w:cstheme="minorHAnsi"/>
                <w:b/>
                <w:sz w:val="14"/>
                <w:szCs w:val="16"/>
                <w:lang w:eastAsia="es-MX"/>
              </w:rPr>
              <w:t>Resultados</w:t>
            </w:r>
          </w:p>
        </w:tc>
        <w:tc>
          <w:tcPr>
            <w:tcW w:w="1134" w:type="dxa"/>
            <w:shd w:val="clear" w:color="auto" w:fill="F2F2F2" w:themeFill="background1" w:themeFillShade="F2"/>
            <w:vAlign w:val="center"/>
          </w:tcPr>
          <w:p w14:paraId="143657B5" w14:textId="77777777" w:rsidR="00AA153F" w:rsidRPr="002150BE" w:rsidRDefault="00AA153F" w:rsidP="00AA153F">
            <w:pPr>
              <w:spacing w:after="0" w:line="240" w:lineRule="auto"/>
              <w:rPr>
                <w:rFonts w:asciiTheme="minorHAnsi" w:hAnsiTheme="minorHAnsi" w:cstheme="minorHAnsi"/>
                <w:color w:val="3A3838"/>
                <w:sz w:val="14"/>
                <w:szCs w:val="14"/>
                <w:lang w:eastAsia="es-MX"/>
              </w:rPr>
            </w:pPr>
            <w:r w:rsidRPr="002150BE">
              <w:rPr>
                <w:rFonts w:asciiTheme="minorHAnsi" w:hAnsiTheme="minorHAnsi" w:cstheme="minorHAnsi"/>
                <w:color w:val="3A3838"/>
                <w:sz w:val="14"/>
                <w:szCs w:val="14"/>
                <w:lang w:eastAsia="es-MX"/>
              </w:rPr>
              <w:t>Indicador FID Estratégico</w:t>
            </w:r>
          </w:p>
        </w:tc>
        <w:tc>
          <w:tcPr>
            <w:tcW w:w="1701" w:type="dxa"/>
            <w:gridSpan w:val="2"/>
            <w:vAlign w:val="center"/>
            <w:hideMark/>
          </w:tcPr>
          <w:p w14:paraId="03CF73B4" w14:textId="721EC609" w:rsidR="00AA153F" w:rsidRPr="002150BE" w:rsidRDefault="00AA153F" w:rsidP="00AA153F">
            <w:pPr>
              <w:spacing w:after="0" w:line="240" w:lineRule="auto"/>
              <w:jc w:val="center"/>
              <w:rPr>
                <w:rFonts w:asciiTheme="minorHAnsi" w:hAnsiTheme="minorHAnsi" w:cstheme="minorHAnsi"/>
                <w:color w:val="3A3838"/>
                <w:sz w:val="14"/>
                <w:szCs w:val="14"/>
                <w:lang w:eastAsia="es-MX"/>
              </w:rPr>
            </w:pPr>
            <w:r w:rsidRPr="002150BE">
              <w:rPr>
                <w:rFonts w:asciiTheme="minorHAnsi" w:hAnsiTheme="minorHAnsi" w:cstheme="minorHAnsi"/>
                <w:color w:val="3A3838"/>
                <w:sz w:val="14"/>
                <w:szCs w:val="14"/>
                <w:lang w:eastAsia="es-MX"/>
              </w:rPr>
              <w:t>Porcentaje de matrícula de educación superior que logra la UTC</w:t>
            </w:r>
          </w:p>
        </w:tc>
        <w:tc>
          <w:tcPr>
            <w:tcW w:w="567" w:type="dxa"/>
            <w:vAlign w:val="center"/>
            <w:hideMark/>
          </w:tcPr>
          <w:p w14:paraId="489675AA" w14:textId="5C0037AB" w:rsidR="00AA153F" w:rsidRPr="002150BE" w:rsidRDefault="00AA153F" w:rsidP="00AA153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Sí</w:t>
            </w:r>
          </w:p>
        </w:tc>
        <w:tc>
          <w:tcPr>
            <w:tcW w:w="851" w:type="dxa"/>
            <w:gridSpan w:val="3"/>
            <w:vAlign w:val="center"/>
            <w:hideMark/>
          </w:tcPr>
          <w:p w14:paraId="4F2CDA37" w14:textId="2020A26A" w:rsidR="00AA153F" w:rsidRPr="002150BE" w:rsidRDefault="00AA153F" w:rsidP="00AA153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Sí</w:t>
            </w:r>
          </w:p>
        </w:tc>
        <w:tc>
          <w:tcPr>
            <w:tcW w:w="567" w:type="dxa"/>
            <w:vAlign w:val="center"/>
            <w:hideMark/>
          </w:tcPr>
          <w:p w14:paraId="06BC598F" w14:textId="655B80A5" w:rsidR="00AA153F" w:rsidRPr="002150BE" w:rsidRDefault="00AA153F" w:rsidP="00AA153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Sí</w:t>
            </w:r>
          </w:p>
        </w:tc>
        <w:tc>
          <w:tcPr>
            <w:tcW w:w="708" w:type="dxa"/>
            <w:gridSpan w:val="2"/>
            <w:vAlign w:val="center"/>
            <w:hideMark/>
          </w:tcPr>
          <w:p w14:paraId="02C473CE" w14:textId="2EA72992" w:rsidR="00AA153F" w:rsidRPr="002150BE" w:rsidRDefault="00AA153F" w:rsidP="00AA153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Sí</w:t>
            </w:r>
          </w:p>
        </w:tc>
        <w:tc>
          <w:tcPr>
            <w:tcW w:w="426" w:type="dxa"/>
            <w:vAlign w:val="center"/>
            <w:hideMark/>
          </w:tcPr>
          <w:p w14:paraId="459B69CC" w14:textId="3D4BC1AD" w:rsidR="00AA153F" w:rsidRPr="002150BE" w:rsidRDefault="00AA153F" w:rsidP="00AA153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Sí</w:t>
            </w:r>
          </w:p>
        </w:tc>
        <w:tc>
          <w:tcPr>
            <w:tcW w:w="2396" w:type="dxa"/>
            <w:gridSpan w:val="4"/>
            <w:vAlign w:val="center"/>
            <w:hideMark/>
          </w:tcPr>
          <w:p w14:paraId="76368748" w14:textId="3D712B4C" w:rsidR="00AA153F" w:rsidRPr="002150BE" w:rsidRDefault="00AA153F" w:rsidP="00AA153F">
            <w:pPr>
              <w:spacing w:after="0" w:line="240" w:lineRule="auto"/>
              <w:jc w:val="center"/>
              <w:rPr>
                <w:rFonts w:asciiTheme="minorHAnsi" w:hAnsiTheme="minorHAnsi" w:cstheme="minorHAnsi"/>
                <w:color w:val="3A3838"/>
                <w:sz w:val="14"/>
                <w:szCs w:val="14"/>
                <w:lang w:eastAsia="es-MX"/>
              </w:rPr>
            </w:pPr>
            <w:r w:rsidRPr="002150BE">
              <w:rPr>
                <w:rFonts w:asciiTheme="minorHAnsi" w:hAnsiTheme="minorHAnsi" w:cstheme="minorHAnsi"/>
                <w:color w:val="3A3838"/>
                <w:sz w:val="14"/>
                <w:szCs w:val="14"/>
                <w:lang w:eastAsia="es-MX"/>
              </w:rPr>
              <w:t>Resume el desempeño central del Pp en términos de cobertura alcanzada por la UTC dentro del sistema estatal de educación superior, y es consistente con el Propósito. Usa información ya disponible (UTC e INEGI), lo que lo hace económico y monitoreable, y es adecuado para reportar avances estratégicos.</w:t>
            </w:r>
          </w:p>
        </w:tc>
      </w:tr>
      <w:tr w:rsidR="00C51640" w:rsidRPr="002150BE" w14:paraId="52DC8F38" w14:textId="77777777" w:rsidTr="003C4A56">
        <w:trPr>
          <w:trHeight w:val="370"/>
        </w:trPr>
        <w:tc>
          <w:tcPr>
            <w:tcW w:w="529" w:type="dxa"/>
            <w:vMerge/>
            <w:shd w:val="clear" w:color="auto" w:fill="D9D9D9" w:themeFill="background1" w:themeFillShade="D9"/>
            <w:noWrap/>
            <w:vAlign w:val="center"/>
          </w:tcPr>
          <w:p w14:paraId="45F3DF11" w14:textId="77777777" w:rsidR="00AA153F" w:rsidRPr="002150BE" w:rsidRDefault="00AA153F" w:rsidP="00AA153F">
            <w:pPr>
              <w:spacing w:after="0" w:line="240" w:lineRule="auto"/>
              <w:rPr>
                <w:rFonts w:asciiTheme="minorHAnsi" w:hAnsiTheme="minorHAnsi" w:cstheme="minorHAnsi"/>
                <w:color w:val="3A3838"/>
                <w:sz w:val="16"/>
                <w:szCs w:val="18"/>
                <w:lang w:eastAsia="es-MX"/>
              </w:rPr>
            </w:pPr>
          </w:p>
        </w:tc>
        <w:tc>
          <w:tcPr>
            <w:tcW w:w="752" w:type="dxa"/>
            <w:shd w:val="clear" w:color="auto" w:fill="D9D9D9" w:themeFill="background1" w:themeFillShade="D9"/>
            <w:noWrap/>
            <w:vAlign w:val="center"/>
          </w:tcPr>
          <w:p w14:paraId="37C17AA0" w14:textId="77777777" w:rsidR="00AA153F" w:rsidRPr="002150BE" w:rsidRDefault="00AA153F" w:rsidP="00AA153F">
            <w:pPr>
              <w:spacing w:after="0" w:line="240" w:lineRule="auto"/>
              <w:jc w:val="center"/>
              <w:rPr>
                <w:rFonts w:asciiTheme="minorHAnsi" w:hAnsiTheme="minorHAnsi" w:cstheme="minorHAnsi"/>
                <w:b/>
                <w:sz w:val="14"/>
                <w:szCs w:val="16"/>
                <w:lang w:eastAsia="es-MX"/>
              </w:rPr>
            </w:pPr>
            <w:r w:rsidRPr="002150BE">
              <w:rPr>
                <w:rFonts w:asciiTheme="minorHAnsi" w:hAnsiTheme="minorHAnsi" w:cstheme="minorHAnsi"/>
                <w:b/>
                <w:sz w:val="14"/>
                <w:szCs w:val="16"/>
                <w:lang w:eastAsia="es-MX"/>
              </w:rPr>
              <w:t>Gestión</w:t>
            </w:r>
          </w:p>
        </w:tc>
        <w:tc>
          <w:tcPr>
            <w:tcW w:w="1134" w:type="dxa"/>
            <w:shd w:val="clear" w:color="auto" w:fill="F2F2F2" w:themeFill="background1" w:themeFillShade="F2"/>
            <w:vAlign w:val="center"/>
          </w:tcPr>
          <w:p w14:paraId="148A11BD" w14:textId="77777777" w:rsidR="00AA153F" w:rsidRPr="002150BE" w:rsidRDefault="00AA153F" w:rsidP="00AA153F">
            <w:pPr>
              <w:spacing w:after="0" w:line="240" w:lineRule="auto"/>
              <w:rPr>
                <w:rFonts w:asciiTheme="minorHAnsi" w:hAnsiTheme="minorHAnsi" w:cstheme="minorHAnsi"/>
                <w:color w:val="3A3838"/>
                <w:sz w:val="14"/>
                <w:szCs w:val="14"/>
                <w:lang w:eastAsia="es-MX"/>
              </w:rPr>
            </w:pPr>
            <w:r w:rsidRPr="002150BE">
              <w:rPr>
                <w:rFonts w:asciiTheme="minorHAnsi" w:hAnsiTheme="minorHAnsi" w:cstheme="minorHAnsi"/>
                <w:color w:val="3A3838"/>
                <w:sz w:val="14"/>
                <w:szCs w:val="14"/>
                <w:lang w:eastAsia="es-MX"/>
              </w:rPr>
              <w:t>Indicador FID Gestión</w:t>
            </w:r>
          </w:p>
        </w:tc>
        <w:tc>
          <w:tcPr>
            <w:tcW w:w="1701" w:type="dxa"/>
            <w:gridSpan w:val="2"/>
            <w:vAlign w:val="center"/>
          </w:tcPr>
          <w:p w14:paraId="0FD72953" w14:textId="07D5ABF0" w:rsidR="00AA153F" w:rsidRPr="002150BE" w:rsidRDefault="00AA153F" w:rsidP="00AA153F">
            <w:pPr>
              <w:spacing w:after="0" w:line="240" w:lineRule="auto"/>
              <w:jc w:val="center"/>
              <w:rPr>
                <w:rFonts w:asciiTheme="minorHAnsi" w:hAnsiTheme="minorHAnsi" w:cstheme="minorHAnsi"/>
                <w:color w:val="3A3838"/>
                <w:sz w:val="14"/>
                <w:szCs w:val="14"/>
                <w:lang w:eastAsia="es-MX"/>
              </w:rPr>
            </w:pPr>
            <w:r w:rsidRPr="002150BE">
              <w:rPr>
                <w:rFonts w:asciiTheme="minorHAnsi" w:hAnsiTheme="minorHAnsi" w:cstheme="minorHAnsi"/>
                <w:color w:val="3A3838"/>
                <w:sz w:val="14"/>
                <w:szCs w:val="14"/>
                <w:lang w:eastAsia="es-MX"/>
              </w:rPr>
              <w:t>Tasa de variación de las aportaciones federales y estatales asignadas a la Universidad</w:t>
            </w:r>
          </w:p>
        </w:tc>
        <w:tc>
          <w:tcPr>
            <w:tcW w:w="567" w:type="dxa"/>
            <w:vAlign w:val="center"/>
          </w:tcPr>
          <w:p w14:paraId="4C590854" w14:textId="653C1946" w:rsidR="00AA153F" w:rsidRPr="002150BE" w:rsidRDefault="00AA153F" w:rsidP="00AA153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Sí</w:t>
            </w:r>
          </w:p>
        </w:tc>
        <w:tc>
          <w:tcPr>
            <w:tcW w:w="851" w:type="dxa"/>
            <w:gridSpan w:val="3"/>
            <w:vAlign w:val="center"/>
          </w:tcPr>
          <w:p w14:paraId="0EA15AAE" w14:textId="6D6DAA39" w:rsidR="00AA153F" w:rsidRPr="002150BE" w:rsidRDefault="00AA153F" w:rsidP="00AA153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Sí</w:t>
            </w:r>
          </w:p>
        </w:tc>
        <w:tc>
          <w:tcPr>
            <w:tcW w:w="567" w:type="dxa"/>
            <w:vAlign w:val="center"/>
          </w:tcPr>
          <w:p w14:paraId="5F2088B8" w14:textId="5BEA7AAA" w:rsidR="00AA153F" w:rsidRPr="002150BE" w:rsidRDefault="00AA153F" w:rsidP="00AA153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Sí</w:t>
            </w:r>
          </w:p>
        </w:tc>
        <w:tc>
          <w:tcPr>
            <w:tcW w:w="708" w:type="dxa"/>
            <w:gridSpan w:val="2"/>
            <w:vAlign w:val="center"/>
          </w:tcPr>
          <w:p w14:paraId="7E29EDEE" w14:textId="7693447B" w:rsidR="00AA153F" w:rsidRPr="002150BE" w:rsidRDefault="00AA153F" w:rsidP="00AA153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Sí</w:t>
            </w:r>
          </w:p>
        </w:tc>
        <w:tc>
          <w:tcPr>
            <w:tcW w:w="426" w:type="dxa"/>
            <w:vAlign w:val="center"/>
          </w:tcPr>
          <w:p w14:paraId="2999C3AA" w14:textId="2FFB820B" w:rsidR="00AA153F" w:rsidRPr="002150BE" w:rsidRDefault="00AA153F" w:rsidP="00AA153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Sí</w:t>
            </w:r>
          </w:p>
        </w:tc>
        <w:tc>
          <w:tcPr>
            <w:tcW w:w="2396" w:type="dxa"/>
            <w:gridSpan w:val="4"/>
            <w:vAlign w:val="center"/>
          </w:tcPr>
          <w:p w14:paraId="0AF42282" w14:textId="74240E9D" w:rsidR="00AA153F" w:rsidRPr="002150BE" w:rsidRDefault="00AA153F" w:rsidP="00AA153F">
            <w:pPr>
              <w:spacing w:after="0" w:line="240" w:lineRule="auto"/>
              <w:jc w:val="center"/>
              <w:rPr>
                <w:rFonts w:asciiTheme="minorHAnsi" w:hAnsiTheme="minorHAnsi" w:cstheme="minorHAnsi"/>
                <w:color w:val="3A3838"/>
                <w:sz w:val="14"/>
                <w:szCs w:val="14"/>
                <w:lang w:eastAsia="es-MX"/>
              </w:rPr>
            </w:pPr>
            <w:r w:rsidRPr="002150BE">
              <w:rPr>
                <w:rFonts w:asciiTheme="minorHAnsi" w:hAnsiTheme="minorHAnsi" w:cstheme="minorHAnsi"/>
                <w:color w:val="3A3838"/>
                <w:sz w:val="14"/>
                <w:szCs w:val="14"/>
                <w:lang w:eastAsia="es-MX"/>
              </w:rPr>
              <w:t>Mide la suficiencia y estabilidad de los recursos presupuestales que soportan la operación del Pp. Su definición y fórmula son claras, es relevante porque condiciona la viabilidad de las actividades y componentes, se alimenta de registros contables y presupuestales ya existentes, y se puede monitorear periódicamente.</w:t>
            </w:r>
          </w:p>
        </w:tc>
      </w:tr>
      <w:tr w:rsidR="00587B73" w:rsidRPr="002150BE" w14:paraId="128986C2" w14:textId="77777777" w:rsidTr="00A8251B">
        <w:trPr>
          <w:trHeight w:val="285"/>
        </w:trPr>
        <w:tc>
          <w:tcPr>
            <w:tcW w:w="9631" w:type="dxa"/>
            <w:gridSpan w:val="17"/>
            <w:shd w:val="clear" w:color="auto" w:fill="7F7F7F" w:themeFill="text1" w:themeFillTint="80"/>
            <w:noWrap/>
            <w:vAlign w:val="center"/>
            <w:hideMark/>
          </w:tcPr>
          <w:p w14:paraId="7A93C8C1" w14:textId="77777777" w:rsidR="00587B73" w:rsidRPr="002150BE" w:rsidRDefault="00587B73" w:rsidP="00587B73">
            <w:pPr>
              <w:spacing w:after="0" w:line="240" w:lineRule="auto"/>
              <w:jc w:val="center"/>
              <w:rPr>
                <w:rFonts w:asciiTheme="minorHAnsi" w:hAnsiTheme="minorHAnsi" w:cstheme="minorHAnsi"/>
                <w:b/>
                <w:color w:val="FFFFFF" w:themeColor="background1"/>
                <w:sz w:val="14"/>
                <w:szCs w:val="14"/>
                <w:lang w:eastAsia="es-MX"/>
              </w:rPr>
            </w:pPr>
            <w:r w:rsidRPr="002150BE">
              <w:rPr>
                <w:rFonts w:asciiTheme="minorHAnsi" w:hAnsiTheme="minorHAnsi" w:cstheme="minorHAnsi"/>
                <w:b/>
                <w:color w:val="FFFFFF" w:themeColor="background1"/>
                <w:sz w:val="14"/>
                <w:szCs w:val="14"/>
                <w:lang w:eastAsia="es-MX"/>
              </w:rPr>
              <w:t>Características de las metas</w:t>
            </w:r>
          </w:p>
        </w:tc>
      </w:tr>
      <w:tr w:rsidR="00C51640" w:rsidRPr="002150BE" w14:paraId="562B29A5" w14:textId="77777777" w:rsidTr="003C4A56">
        <w:trPr>
          <w:trHeight w:val="798"/>
        </w:trPr>
        <w:tc>
          <w:tcPr>
            <w:tcW w:w="529" w:type="dxa"/>
            <w:vMerge w:val="restart"/>
            <w:shd w:val="clear" w:color="auto" w:fill="D9D9D9" w:themeFill="background1" w:themeFillShade="D9"/>
            <w:vAlign w:val="center"/>
            <w:hideMark/>
          </w:tcPr>
          <w:p w14:paraId="410370A8" w14:textId="77777777" w:rsidR="00587B73" w:rsidRPr="002150BE" w:rsidRDefault="00587B73" w:rsidP="00587B73">
            <w:pPr>
              <w:spacing w:after="0" w:line="240" w:lineRule="auto"/>
              <w:jc w:val="center"/>
              <w:rPr>
                <w:rFonts w:asciiTheme="minorHAnsi" w:hAnsiTheme="minorHAnsi" w:cstheme="minorHAnsi"/>
                <w:b/>
                <w:color w:val="3A3838"/>
                <w:sz w:val="18"/>
                <w:szCs w:val="18"/>
                <w:lang w:eastAsia="es-MX"/>
              </w:rPr>
            </w:pPr>
            <w:r w:rsidRPr="002150BE">
              <w:rPr>
                <w:rFonts w:asciiTheme="minorHAnsi" w:hAnsiTheme="minorHAnsi" w:cstheme="minorHAnsi"/>
                <w:b/>
                <w:color w:val="3A3838"/>
                <w:sz w:val="18"/>
                <w:szCs w:val="18"/>
                <w:lang w:eastAsia="es-MX"/>
              </w:rPr>
              <w:t>MIR</w:t>
            </w:r>
          </w:p>
        </w:tc>
        <w:tc>
          <w:tcPr>
            <w:tcW w:w="752" w:type="dxa"/>
            <w:shd w:val="clear" w:color="auto" w:fill="D9D9D9" w:themeFill="background1" w:themeFillShade="D9"/>
            <w:vAlign w:val="center"/>
            <w:hideMark/>
          </w:tcPr>
          <w:p w14:paraId="3C05AF01" w14:textId="77777777" w:rsidR="00587B73" w:rsidRPr="002150BE" w:rsidRDefault="00587B73" w:rsidP="00587B73">
            <w:pPr>
              <w:spacing w:after="0" w:line="240" w:lineRule="auto"/>
              <w:jc w:val="center"/>
              <w:rPr>
                <w:rFonts w:asciiTheme="minorHAnsi" w:hAnsiTheme="minorHAnsi" w:cstheme="minorHAnsi"/>
                <w:b/>
                <w:color w:val="3A3838"/>
                <w:sz w:val="14"/>
                <w:szCs w:val="16"/>
                <w:lang w:eastAsia="es-MX"/>
              </w:rPr>
            </w:pPr>
            <w:r w:rsidRPr="002150BE">
              <w:rPr>
                <w:rFonts w:asciiTheme="minorHAnsi" w:hAnsiTheme="minorHAnsi" w:cstheme="minorHAnsi"/>
                <w:b/>
                <w:color w:val="3A3838"/>
                <w:sz w:val="14"/>
                <w:szCs w:val="16"/>
                <w:lang w:eastAsia="es-MX"/>
              </w:rPr>
              <w:t>Nivel de objetivo</w:t>
            </w:r>
          </w:p>
        </w:tc>
        <w:tc>
          <w:tcPr>
            <w:tcW w:w="1134" w:type="dxa"/>
            <w:shd w:val="clear" w:color="auto" w:fill="D9D9D9" w:themeFill="background1" w:themeFillShade="D9"/>
            <w:vAlign w:val="center"/>
            <w:hideMark/>
          </w:tcPr>
          <w:p w14:paraId="41178843" w14:textId="77777777" w:rsidR="00587B73" w:rsidRPr="002150BE" w:rsidRDefault="00587B73" w:rsidP="00587B73">
            <w:pPr>
              <w:spacing w:after="0" w:line="240" w:lineRule="auto"/>
              <w:jc w:val="center"/>
              <w:rPr>
                <w:rFonts w:asciiTheme="minorHAnsi" w:hAnsiTheme="minorHAnsi" w:cstheme="minorHAnsi"/>
                <w:b/>
                <w:color w:val="3A3838"/>
                <w:sz w:val="14"/>
                <w:szCs w:val="14"/>
                <w:lang w:eastAsia="es-MX"/>
              </w:rPr>
            </w:pPr>
            <w:r w:rsidRPr="002150BE">
              <w:rPr>
                <w:rFonts w:asciiTheme="minorHAnsi" w:hAnsiTheme="minorHAnsi" w:cstheme="minorHAnsi"/>
                <w:b/>
                <w:color w:val="3A3838"/>
                <w:sz w:val="14"/>
                <w:szCs w:val="14"/>
                <w:lang w:eastAsia="es-MX"/>
              </w:rPr>
              <w:t>Nombre del indicador</w:t>
            </w:r>
          </w:p>
        </w:tc>
        <w:tc>
          <w:tcPr>
            <w:tcW w:w="992" w:type="dxa"/>
            <w:shd w:val="clear" w:color="auto" w:fill="D9D9D9" w:themeFill="background1" w:themeFillShade="D9"/>
            <w:vAlign w:val="center"/>
            <w:hideMark/>
          </w:tcPr>
          <w:p w14:paraId="3ED35672" w14:textId="77777777" w:rsidR="00587B73" w:rsidRPr="002150BE" w:rsidRDefault="00587B73" w:rsidP="00587B73">
            <w:pPr>
              <w:spacing w:after="0" w:line="240" w:lineRule="auto"/>
              <w:jc w:val="center"/>
              <w:rPr>
                <w:rFonts w:asciiTheme="minorHAnsi" w:hAnsiTheme="minorHAnsi" w:cstheme="minorHAnsi"/>
                <w:b/>
                <w:color w:val="3A3838"/>
                <w:sz w:val="14"/>
                <w:szCs w:val="14"/>
                <w:lang w:eastAsia="es-MX"/>
              </w:rPr>
            </w:pPr>
            <w:r w:rsidRPr="002150BE">
              <w:rPr>
                <w:rFonts w:asciiTheme="minorHAnsi" w:hAnsiTheme="minorHAnsi" w:cstheme="minorHAnsi"/>
                <w:b/>
                <w:color w:val="3A3838"/>
                <w:sz w:val="14"/>
                <w:szCs w:val="14"/>
                <w:lang w:eastAsia="es-MX"/>
              </w:rPr>
              <w:t>Meta</w:t>
            </w:r>
          </w:p>
        </w:tc>
        <w:tc>
          <w:tcPr>
            <w:tcW w:w="709" w:type="dxa"/>
            <w:shd w:val="clear" w:color="auto" w:fill="D9D9D9" w:themeFill="background1" w:themeFillShade="D9"/>
            <w:vAlign w:val="center"/>
            <w:hideMark/>
          </w:tcPr>
          <w:p w14:paraId="4CA820AA" w14:textId="77777777" w:rsidR="00587B73" w:rsidRPr="002150BE" w:rsidRDefault="00587B73" w:rsidP="00587B73">
            <w:pPr>
              <w:spacing w:after="0" w:line="240" w:lineRule="auto"/>
              <w:jc w:val="center"/>
              <w:rPr>
                <w:rFonts w:asciiTheme="minorHAnsi" w:hAnsiTheme="minorHAnsi" w:cstheme="minorHAnsi"/>
                <w:b/>
                <w:color w:val="3A3838"/>
                <w:sz w:val="14"/>
                <w:szCs w:val="14"/>
                <w:lang w:eastAsia="es-MX"/>
              </w:rPr>
            </w:pPr>
            <w:r w:rsidRPr="002150BE">
              <w:rPr>
                <w:rFonts w:asciiTheme="minorHAnsi" w:hAnsiTheme="minorHAnsi" w:cstheme="minorHAnsi"/>
                <w:b/>
                <w:color w:val="3A3838"/>
                <w:sz w:val="14"/>
                <w:szCs w:val="14"/>
                <w:lang w:eastAsia="es-MX"/>
              </w:rPr>
              <w:t>Método de cálculo</w:t>
            </w:r>
          </w:p>
        </w:tc>
        <w:tc>
          <w:tcPr>
            <w:tcW w:w="992" w:type="dxa"/>
            <w:gridSpan w:val="3"/>
            <w:shd w:val="clear" w:color="auto" w:fill="D9D9D9" w:themeFill="background1" w:themeFillShade="D9"/>
            <w:vAlign w:val="center"/>
            <w:hideMark/>
          </w:tcPr>
          <w:p w14:paraId="68F9FE02" w14:textId="77777777" w:rsidR="00587B73" w:rsidRPr="002150BE" w:rsidRDefault="00587B73" w:rsidP="00587B73">
            <w:pPr>
              <w:spacing w:after="0" w:line="240" w:lineRule="auto"/>
              <w:jc w:val="center"/>
              <w:rPr>
                <w:rFonts w:asciiTheme="minorHAnsi" w:hAnsiTheme="minorHAnsi" w:cstheme="minorHAnsi"/>
                <w:b/>
                <w:color w:val="3A3838"/>
                <w:sz w:val="14"/>
                <w:szCs w:val="14"/>
                <w:lang w:eastAsia="es-MX"/>
              </w:rPr>
            </w:pPr>
            <w:r w:rsidRPr="002150BE">
              <w:rPr>
                <w:rFonts w:asciiTheme="minorHAnsi" w:hAnsiTheme="minorHAnsi" w:cstheme="minorHAnsi"/>
                <w:b/>
                <w:color w:val="3A3838"/>
                <w:sz w:val="14"/>
                <w:szCs w:val="14"/>
                <w:lang w:eastAsia="es-MX"/>
              </w:rPr>
              <w:t>Unidad de medida</w:t>
            </w:r>
          </w:p>
        </w:tc>
        <w:tc>
          <w:tcPr>
            <w:tcW w:w="993" w:type="dxa"/>
            <w:gridSpan w:val="2"/>
            <w:shd w:val="clear" w:color="auto" w:fill="D9D9D9" w:themeFill="background1" w:themeFillShade="D9"/>
            <w:vAlign w:val="center"/>
            <w:hideMark/>
          </w:tcPr>
          <w:p w14:paraId="59929447" w14:textId="77777777" w:rsidR="00587B73" w:rsidRPr="002150BE" w:rsidRDefault="00587B73" w:rsidP="00587B73">
            <w:pPr>
              <w:spacing w:after="0" w:line="240" w:lineRule="auto"/>
              <w:jc w:val="center"/>
              <w:rPr>
                <w:rFonts w:asciiTheme="minorHAnsi" w:hAnsiTheme="minorHAnsi" w:cstheme="minorHAnsi"/>
                <w:b/>
                <w:color w:val="3A3838"/>
                <w:sz w:val="14"/>
                <w:szCs w:val="14"/>
                <w:lang w:eastAsia="es-MX"/>
              </w:rPr>
            </w:pPr>
            <w:r w:rsidRPr="002150BE">
              <w:rPr>
                <w:rFonts w:asciiTheme="minorHAnsi" w:hAnsiTheme="minorHAnsi" w:cstheme="minorHAnsi"/>
                <w:b/>
                <w:color w:val="3A3838"/>
                <w:sz w:val="14"/>
                <w:szCs w:val="14"/>
                <w:lang w:eastAsia="es-MX"/>
              </w:rPr>
              <w:t>Congruente con el sentido del indicador</w:t>
            </w:r>
          </w:p>
        </w:tc>
        <w:tc>
          <w:tcPr>
            <w:tcW w:w="708" w:type="dxa"/>
            <w:gridSpan w:val="2"/>
            <w:shd w:val="clear" w:color="auto" w:fill="D9D9D9" w:themeFill="background1" w:themeFillShade="D9"/>
            <w:vAlign w:val="center"/>
            <w:hideMark/>
          </w:tcPr>
          <w:p w14:paraId="674F43CE" w14:textId="77777777" w:rsidR="00587B73" w:rsidRPr="002150BE" w:rsidRDefault="00587B73" w:rsidP="00587B73">
            <w:pPr>
              <w:spacing w:after="0" w:line="240" w:lineRule="auto"/>
              <w:jc w:val="center"/>
              <w:rPr>
                <w:rFonts w:asciiTheme="minorHAnsi" w:hAnsiTheme="minorHAnsi" w:cstheme="minorHAnsi"/>
                <w:b/>
                <w:color w:val="3A3838"/>
                <w:sz w:val="14"/>
                <w:szCs w:val="14"/>
                <w:lang w:eastAsia="es-MX"/>
              </w:rPr>
            </w:pPr>
            <w:r w:rsidRPr="002150BE">
              <w:rPr>
                <w:rFonts w:asciiTheme="minorHAnsi" w:hAnsiTheme="minorHAnsi" w:cstheme="minorHAnsi"/>
                <w:b/>
                <w:color w:val="3A3838"/>
                <w:sz w:val="14"/>
                <w:szCs w:val="14"/>
                <w:lang w:eastAsia="es-MX"/>
              </w:rPr>
              <w:t>Orientada a la mejora del desempeño</w:t>
            </w:r>
          </w:p>
        </w:tc>
        <w:tc>
          <w:tcPr>
            <w:tcW w:w="851" w:type="dxa"/>
            <w:gridSpan w:val="2"/>
            <w:shd w:val="clear" w:color="auto" w:fill="D9D9D9" w:themeFill="background1" w:themeFillShade="D9"/>
            <w:vAlign w:val="center"/>
            <w:hideMark/>
          </w:tcPr>
          <w:p w14:paraId="66E911C5" w14:textId="77777777" w:rsidR="00587B73" w:rsidRPr="002150BE" w:rsidRDefault="00587B73" w:rsidP="00587B73">
            <w:pPr>
              <w:spacing w:after="0" w:line="240" w:lineRule="auto"/>
              <w:jc w:val="center"/>
              <w:rPr>
                <w:rFonts w:asciiTheme="minorHAnsi" w:hAnsiTheme="minorHAnsi" w:cstheme="minorHAnsi"/>
                <w:b/>
                <w:color w:val="3A3838"/>
                <w:sz w:val="14"/>
                <w:szCs w:val="14"/>
                <w:lang w:eastAsia="es-MX"/>
              </w:rPr>
            </w:pPr>
            <w:r w:rsidRPr="002150BE">
              <w:rPr>
                <w:rFonts w:asciiTheme="minorHAnsi" w:hAnsiTheme="minorHAnsi" w:cstheme="minorHAnsi"/>
                <w:b/>
                <w:color w:val="3A3838"/>
                <w:sz w:val="14"/>
                <w:szCs w:val="14"/>
                <w:lang w:eastAsia="es-MX"/>
              </w:rPr>
              <w:t>Factibles pero retadoras</w:t>
            </w:r>
          </w:p>
        </w:tc>
        <w:tc>
          <w:tcPr>
            <w:tcW w:w="1971" w:type="dxa"/>
            <w:gridSpan w:val="3"/>
            <w:shd w:val="clear" w:color="auto" w:fill="D9D9D9" w:themeFill="background1" w:themeFillShade="D9"/>
            <w:vAlign w:val="center"/>
            <w:hideMark/>
          </w:tcPr>
          <w:p w14:paraId="165BADE7" w14:textId="77777777" w:rsidR="00587B73" w:rsidRPr="002150BE" w:rsidRDefault="00587B73" w:rsidP="00587B73">
            <w:pPr>
              <w:spacing w:after="0" w:line="240" w:lineRule="auto"/>
              <w:jc w:val="center"/>
              <w:rPr>
                <w:rFonts w:asciiTheme="minorHAnsi" w:hAnsiTheme="minorHAnsi" w:cstheme="minorHAnsi"/>
                <w:b/>
                <w:color w:val="3A3838"/>
                <w:sz w:val="14"/>
                <w:szCs w:val="14"/>
                <w:lang w:eastAsia="es-MX"/>
              </w:rPr>
            </w:pPr>
            <w:r w:rsidRPr="002150BE">
              <w:rPr>
                <w:rFonts w:asciiTheme="minorHAnsi" w:hAnsiTheme="minorHAnsi" w:cstheme="minorHAnsi"/>
                <w:b/>
                <w:color w:val="3A3838"/>
                <w:sz w:val="14"/>
                <w:szCs w:val="14"/>
                <w:lang w:eastAsia="es-MX"/>
              </w:rPr>
              <w:t>Justificación</w:t>
            </w:r>
          </w:p>
        </w:tc>
      </w:tr>
      <w:tr w:rsidR="00587B73" w:rsidRPr="002150BE" w14:paraId="136A4D26" w14:textId="77777777" w:rsidTr="00CE01DF">
        <w:trPr>
          <w:trHeight w:val="285"/>
        </w:trPr>
        <w:tc>
          <w:tcPr>
            <w:tcW w:w="529" w:type="dxa"/>
            <w:vMerge/>
            <w:vAlign w:val="center"/>
            <w:hideMark/>
          </w:tcPr>
          <w:p w14:paraId="50E977A8" w14:textId="77777777" w:rsidR="00587B73" w:rsidRPr="002150BE" w:rsidRDefault="00587B73" w:rsidP="00587B73">
            <w:pPr>
              <w:spacing w:after="0" w:line="240" w:lineRule="auto"/>
              <w:rPr>
                <w:rFonts w:asciiTheme="minorHAnsi" w:hAnsiTheme="minorHAnsi" w:cstheme="minorHAnsi"/>
                <w:color w:val="3A3838"/>
                <w:sz w:val="18"/>
                <w:szCs w:val="18"/>
                <w:lang w:eastAsia="es-MX"/>
              </w:rPr>
            </w:pPr>
          </w:p>
        </w:tc>
        <w:tc>
          <w:tcPr>
            <w:tcW w:w="752" w:type="dxa"/>
            <w:shd w:val="clear" w:color="auto" w:fill="F2F2F2" w:themeFill="background1" w:themeFillShade="F2"/>
            <w:vAlign w:val="center"/>
            <w:hideMark/>
          </w:tcPr>
          <w:p w14:paraId="27A04445" w14:textId="77777777" w:rsidR="00587B73" w:rsidRPr="002150BE" w:rsidRDefault="00587B73" w:rsidP="00587B73">
            <w:pPr>
              <w:spacing w:after="0" w:line="240" w:lineRule="auto"/>
              <w:rPr>
                <w:rFonts w:asciiTheme="minorHAnsi" w:hAnsiTheme="minorHAnsi" w:cstheme="minorHAnsi"/>
                <w:color w:val="3A3838"/>
                <w:sz w:val="14"/>
                <w:szCs w:val="16"/>
                <w:lang w:eastAsia="es-MX"/>
              </w:rPr>
            </w:pPr>
            <w:r w:rsidRPr="002150BE">
              <w:rPr>
                <w:rFonts w:asciiTheme="minorHAnsi" w:hAnsiTheme="minorHAnsi" w:cstheme="minorHAnsi"/>
                <w:color w:val="3A3838"/>
                <w:sz w:val="14"/>
                <w:szCs w:val="16"/>
                <w:lang w:eastAsia="es-MX"/>
              </w:rPr>
              <w:t>Fin</w:t>
            </w:r>
          </w:p>
        </w:tc>
        <w:tc>
          <w:tcPr>
            <w:tcW w:w="1134" w:type="dxa"/>
            <w:vAlign w:val="center"/>
          </w:tcPr>
          <w:p w14:paraId="4A67D58B" w14:textId="73C98075" w:rsidR="00587B73" w:rsidRPr="002150BE" w:rsidRDefault="00AC16BD" w:rsidP="00CE01DF">
            <w:pPr>
              <w:spacing w:after="0" w:line="240" w:lineRule="auto"/>
              <w:jc w:val="center"/>
              <w:rPr>
                <w:rFonts w:asciiTheme="minorHAnsi" w:hAnsiTheme="minorHAnsi" w:cstheme="minorHAnsi"/>
                <w:color w:val="3A3838"/>
                <w:sz w:val="14"/>
                <w:szCs w:val="14"/>
                <w:lang w:eastAsia="es-MX"/>
              </w:rPr>
            </w:pPr>
            <w:r w:rsidRPr="002150BE">
              <w:rPr>
                <w:rFonts w:asciiTheme="minorHAnsi" w:hAnsiTheme="minorHAnsi" w:cstheme="minorHAnsi"/>
                <w:color w:val="3A3838"/>
                <w:sz w:val="14"/>
                <w:szCs w:val="14"/>
                <w:lang w:eastAsia="es-MX"/>
              </w:rPr>
              <w:t>Tasa de variación de la esperanza de escolaridad en Sinaloa</w:t>
            </w:r>
          </w:p>
        </w:tc>
        <w:tc>
          <w:tcPr>
            <w:tcW w:w="992" w:type="dxa"/>
            <w:vAlign w:val="center"/>
          </w:tcPr>
          <w:p w14:paraId="0C782478" w14:textId="6093C594" w:rsidR="00587B73" w:rsidRPr="002150BE" w:rsidRDefault="00AC16BD"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Mantener una variación positiva de la esperanza de escolaridad en Sinaloa en el periodo 2023–2027 (al menos ≥ 0% cada ciclo, con una meta acumulada definida por el Pp).</w:t>
            </w:r>
          </w:p>
        </w:tc>
        <w:tc>
          <w:tcPr>
            <w:tcW w:w="709" w:type="dxa"/>
            <w:vAlign w:val="center"/>
          </w:tcPr>
          <w:p w14:paraId="781BC371" w14:textId="67E65925" w:rsidR="00587B73" w:rsidRPr="002150BE" w:rsidRDefault="00AC16BD"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(Esperanza de escolaridad t – Esperanza de escolaridad t-1) / Esperanza de escolaridad t-1 * 100</w:t>
            </w:r>
          </w:p>
        </w:tc>
        <w:tc>
          <w:tcPr>
            <w:tcW w:w="992" w:type="dxa"/>
            <w:gridSpan w:val="3"/>
            <w:vAlign w:val="center"/>
          </w:tcPr>
          <w:p w14:paraId="5C25BA90" w14:textId="1C14042E" w:rsidR="00587B73" w:rsidRPr="002150BE" w:rsidRDefault="00AC16BD"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Porcentaje (%)</w:t>
            </w:r>
          </w:p>
        </w:tc>
        <w:tc>
          <w:tcPr>
            <w:tcW w:w="993" w:type="dxa"/>
            <w:gridSpan w:val="2"/>
            <w:vAlign w:val="center"/>
          </w:tcPr>
          <w:p w14:paraId="2E731189" w14:textId="51D8E957" w:rsidR="00587B73" w:rsidRPr="002150BE" w:rsidRDefault="00AC16BD"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Sí</w:t>
            </w:r>
          </w:p>
        </w:tc>
        <w:tc>
          <w:tcPr>
            <w:tcW w:w="708" w:type="dxa"/>
            <w:gridSpan w:val="2"/>
            <w:vAlign w:val="center"/>
          </w:tcPr>
          <w:p w14:paraId="0F748BD7" w14:textId="7F53493D" w:rsidR="00587B73" w:rsidRPr="002150BE" w:rsidRDefault="00AC16BD"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Sí</w:t>
            </w:r>
          </w:p>
        </w:tc>
        <w:tc>
          <w:tcPr>
            <w:tcW w:w="851" w:type="dxa"/>
            <w:gridSpan w:val="2"/>
            <w:vAlign w:val="center"/>
          </w:tcPr>
          <w:p w14:paraId="05256D22" w14:textId="141F2705" w:rsidR="00587B73" w:rsidRPr="002150BE" w:rsidRDefault="00AC16BD"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Sí</w:t>
            </w:r>
          </w:p>
        </w:tc>
        <w:tc>
          <w:tcPr>
            <w:tcW w:w="1971" w:type="dxa"/>
            <w:gridSpan w:val="3"/>
            <w:vAlign w:val="center"/>
          </w:tcPr>
          <w:p w14:paraId="07D86368" w14:textId="33177197" w:rsidR="00587B73" w:rsidRPr="002150BE" w:rsidRDefault="00AC16BD"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La meta está alineada con el objetivo de incrementar el nivel educativo y se orienta a evitar retrocesos en la esperanza de escolaridad. Es retadora porque depende del desempeño global del sistema educativo estatal, pero se considera factible en la medida en que todos los actores contribuyen.</w:t>
            </w:r>
          </w:p>
        </w:tc>
      </w:tr>
      <w:tr w:rsidR="00C51640" w:rsidRPr="002150BE" w14:paraId="03B56B69" w14:textId="77777777" w:rsidTr="00CE01DF">
        <w:trPr>
          <w:trHeight w:val="285"/>
        </w:trPr>
        <w:tc>
          <w:tcPr>
            <w:tcW w:w="529" w:type="dxa"/>
            <w:vMerge/>
            <w:vAlign w:val="center"/>
            <w:hideMark/>
          </w:tcPr>
          <w:p w14:paraId="701E5F67" w14:textId="77777777" w:rsidR="00C51640" w:rsidRPr="002150BE" w:rsidRDefault="00C51640" w:rsidP="00C51640">
            <w:pPr>
              <w:spacing w:after="0" w:line="240" w:lineRule="auto"/>
              <w:rPr>
                <w:rFonts w:asciiTheme="minorHAnsi" w:hAnsiTheme="minorHAnsi" w:cstheme="minorHAnsi"/>
                <w:color w:val="3A3838"/>
                <w:sz w:val="18"/>
                <w:szCs w:val="18"/>
                <w:lang w:eastAsia="es-MX"/>
              </w:rPr>
            </w:pPr>
          </w:p>
        </w:tc>
        <w:tc>
          <w:tcPr>
            <w:tcW w:w="752" w:type="dxa"/>
            <w:shd w:val="clear" w:color="auto" w:fill="F2F2F2" w:themeFill="background1" w:themeFillShade="F2"/>
            <w:noWrap/>
            <w:vAlign w:val="center"/>
            <w:hideMark/>
          </w:tcPr>
          <w:p w14:paraId="583EDFE3" w14:textId="1351166E" w:rsidR="00C51640" w:rsidRPr="002150BE" w:rsidRDefault="00C51640" w:rsidP="00C51640">
            <w:pPr>
              <w:spacing w:after="0" w:line="240" w:lineRule="auto"/>
              <w:rPr>
                <w:rFonts w:asciiTheme="minorHAnsi" w:hAnsiTheme="minorHAnsi" w:cstheme="minorHAnsi"/>
                <w:color w:val="3A3838"/>
                <w:sz w:val="14"/>
                <w:szCs w:val="16"/>
                <w:lang w:eastAsia="es-MX"/>
              </w:rPr>
            </w:pPr>
            <w:r w:rsidRPr="002150BE">
              <w:rPr>
                <w:rFonts w:asciiTheme="minorHAnsi" w:hAnsiTheme="minorHAnsi" w:cstheme="minorHAnsi"/>
                <w:color w:val="3A3838"/>
                <w:sz w:val="14"/>
                <w:szCs w:val="16"/>
                <w:lang w:eastAsia="es-MX"/>
              </w:rPr>
              <w:t>Fin</w:t>
            </w:r>
          </w:p>
        </w:tc>
        <w:tc>
          <w:tcPr>
            <w:tcW w:w="1134" w:type="dxa"/>
            <w:vAlign w:val="center"/>
          </w:tcPr>
          <w:p w14:paraId="7F1FEFD6" w14:textId="272A3212" w:rsidR="00C51640" w:rsidRPr="002150BE" w:rsidRDefault="00C51640" w:rsidP="00CE01DF">
            <w:pPr>
              <w:spacing w:after="0" w:line="240" w:lineRule="auto"/>
              <w:jc w:val="center"/>
              <w:rPr>
                <w:rFonts w:asciiTheme="minorHAnsi" w:hAnsiTheme="minorHAnsi" w:cstheme="minorHAnsi"/>
                <w:color w:val="3A3838"/>
                <w:sz w:val="14"/>
                <w:szCs w:val="14"/>
                <w:lang w:eastAsia="es-MX"/>
              </w:rPr>
            </w:pPr>
            <w:r w:rsidRPr="002150BE">
              <w:rPr>
                <w:rFonts w:asciiTheme="minorHAnsi" w:hAnsiTheme="minorHAnsi" w:cstheme="minorHAnsi"/>
                <w:sz w:val="14"/>
                <w:szCs w:val="14"/>
              </w:rPr>
              <w:t>Grado promedio de escolaridad de la población de 15 y más años en Sinaloa</w:t>
            </w:r>
          </w:p>
        </w:tc>
        <w:tc>
          <w:tcPr>
            <w:tcW w:w="992" w:type="dxa"/>
            <w:vAlign w:val="center"/>
          </w:tcPr>
          <w:p w14:paraId="0740E5EC" w14:textId="18CFA632" w:rsidR="00C51640" w:rsidRPr="002150BE" w:rsidRDefault="00C51640"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sz w:val="14"/>
                <w:szCs w:val="14"/>
              </w:rPr>
              <w:t xml:space="preserve">Incrementar el grado promedio de escolaridad de la población de 15 años y más respecto al valor 2023, en una magnitud acordada por el Pp para </w:t>
            </w:r>
            <w:r w:rsidRPr="002150BE">
              <w:rPr>
                <w:rFonts w:asciiTheme="minorHAnsi" w:hAnsiTheme="minorHAnsi" w:cstheme="minorHAnsi"/>
                <w:sz w:val="14"/>
                <w:szCs w:val="14"/>
              </w:rPr>
              <w:lastRenderedPageBreak/>
              <w:t>2027.</w:t>
            </w:r>
          </w:p>
        </w:tc>
        <w:tc>
          <w:tcPr>
            <w:tcW w:w="709" w:type="dxa"/>
            <w:vAlign w:val="center"/>
          </w:tcPr>
          <w:p w14:paraId="5FC147E7" w14:textId="712794D8" w:rsidR="00C51640" w:rsidRPr="002150BE" w:rsidRDefault="00C51640"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sz w:val="14"/>
                <w:szCs w:val="14"/>
              </w:rPr>
              <w:lastRenderedPageBreak/>
              <w:t>Definición INEGI: suma de años aprobados / población de 15 y más años</w:t>
            </w:r>
          </w:p>
        </w:tc>
        <w:tc>
          <w:tcPr>
            <w:tcW w:w="992" w:type="dxa"/>
            <w:gridSpan w:val="3"/>
            <w:vAlign w:val="center"/>
          </w:tcPr>
          <w:p w14:paraId="14F05977" w14:textId="168603A7" w:rsidR="00C51640" w:rsidRPr="002150BE" w:rsidRDefault="00C51640"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sz w:val="14"/>
                <w:szCs w:val="14"/>
              </w:rPr>
              <w:t>Años</w:t>
            </w:r>
          </w:p>
        </w:tc>
        <w:tc>
          <w:tcPr>
            <w:tcW w:w="993" w:type="dxa"/>
            <w:gridSpan w:val="2"/>
            <w:vAlign w:val="center"/>
          </w:tcPr>
          <w:p w14:paraId="63A4D6F6" w14:textId="40267464" w:rsidR="00C51640" w:rsidRPr="002150BE" w:rsidRDefault="00C51640"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Sí</w:t>
            </w:r>
          </w:p>
        </w:tc>
        <w:tc>
          <w:tcPr>
            <w:tcW w:w="708" w:type="dxa"/>
            <w:gridSpan w:val="2"/>
            <w:vAlign w:val="center"/>
          </w:tcPr>
          <w:p w14:paraId="45D78611" w14:textId="1E4BFE84" w:rsidR="00C51640" w:rsidRPr="002150BE" w:rsidRDefault="00C51640"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Sí</w:t>
            </w:r>
          </w:p>
        </w:tc>
        <w:tc>
          <w:tcPr>
            <w:tcW w:w="851" w:type="dxa"/>
            <w:gridSpan w:val="2"/>
            <w:vAlign w:val="center"/>
          </w:tcPr>
          <w:p w14:paraId="783F06D3" w14:textId="646FCDCA" w:rsidR="00C51640" w:rsidRPr="002150BE" w:rsidRDefault="00C51640"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Sí</w:t>
            </w:r>
          </w:p>
        </w:tc>
        <w:tc>
          <w:tcPr>
            <w:tcW w:w="1971" w:type="dxa"/>
            <w:gridSpan w:val="3"/>
            <w:vAlign w:val="center"/>
          </w:tcPr>
          <w:p w14:paraId="24F5C5E3" w14:textId="3854E5AA" w:rsidR="00C51640" w:rsidRPr="002150BE" w:rsidRDefault="00C51640"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Aumentar el grado promedio es coherente con el propósito de elevar el nivel educativo. La meta es de mejora sostenida, aunque la contribución directa de la UTC es parcial.</w:t>
            </w:r>
          </w:p>
        </w:tc>
      </w:tr>
      <w:tr w:rsidR="00C51640" w:rsidRPr="002150BE" w14:paraId="1D7AE8D3" w14:textId="77777777" w:rsidTr="00CE01DF">
        <w:trPr>
          <w:trHeight w:val="285"/>
        </w:trPr>
        <w:tc>
          <w:tcPr>
            <w:tcW w:w="529" w:type="dxa"/>
            <w:vMerge/>
            <w:vAlign w:val="center"/>
          </w:tcPr>
          <w:p w14:paraId="4BE7A464" w14:textId="77777777" w:rsidR="00C51640" w:rsidRPr="002150BE" w:rsidRDefault="00C51640" w:rsidP="00C51640">
            <w:pPr>
              <w:spacing w:after="0" w:line="240" w:lineRule="auto"/>
              <w:rPr>
                <w:rFonts w:asciiTheme="minorHAnsi" w:hAnsiTheme="minorHAnsi" w:cstheme="minorHAnsi"/>
                <w:color w:val="3A3838"/>
                <w:sz w:val="18"/>
                <w:szCs w:val="18"/>
                <w:lang w:eastAsia="es-MX"/>
              </w:rPr>
            </w:pPr>
          </w:p>
        </w:tc>
        <w:tc>
          <w:tcPr>
            <w:tcW w:w="752" w:type="dxa"/>
            <w:shd w:val="clear" w:color="auto" w:fill="F2F2F2" w:themeFill="background1" w:themeFillShade="F2"/>
            <w:noWrap/>
            <w:vAlign w:val="center"/>
          </w:tcPr>
          <w:p w14:paraId="109A5CC2" w14:textId="3F73A33C" w:rsidR="00C51640" w:rsidRPr="002150BE" w:rsidRDefault="00C51640" w:rsidP="00C51640">
            <w:pPr>
              <w:spacing w:after="0" w:line="240" w:lineRule="auto"/>
              <w:rPr>
                <w:rFonts w:asciiTheme="minorHAnsi" w:hAnsiTheme="minorHAnsi" w:cstheme="minorHAnsi"/>
                <w:color w:val="3A3838"/>
                <w:sz w:val="14"/>
                <w:szCs w:val="16"/>
                <w:lang w:eastAsia="es-MX"/>
              </w:rPr>
            </w:pPr>
            <w:r w:rsidRPr="002150BE">
              <w:rPr>
                <w:rFonts w:asciiTheme="minorHAnsi" w:hAnsiTheme="minorHAnsi" w:cstheme="minorHAnsi"/>
                <w:color w:val="3A3838"/>
                <w:sz w:val="14"/>
                <w:szCs w:val="16"/>
                <w:lang w:eastAsia="es-MX"/>
              </w:rPr>
              <w:t>Propósito</w:t>
            </w:r>
          </w:p>
        </w:tc>
        <w:tc>
          <w:tcPr>
            <w:tcW w:w="1134" w:type="dxa"/>
            <w:vAlign w:val="center"/>
          </w:tcPr>
          <w:p w14:paraId="0CE53C72" w14:textId="482E9CB8" w:rsidR="00C51640" w:rsidRPr="002150BE" w:rsidRDefault="00C51640" w:rsidP="00CE01DF">
            <w:pPr>
              <w:spacing w:after="0" w:line="240" w:lineRule="auto"/>
              <w:jc w:val="center"/>
              <w:rPr>
                <w:rFonts w:asciiTheme="minorHAnsi" w:hAnsiTheme="minorHAnsi" w:cstheme="minorHAnsi"/>
                <w:color w:val="3A3838"/>
                <w:sz w:val="14"/>
                <w:szCs w:val="14"/>
                <w:lang w:eastAsia="es-MX"/>
              </w:rPr>
            </w:pPr>
            <w:r w:rsidRPr="002150BE">
              <w:rPr>
                <w:rFonts w:asciiTheme="minorHAnsi" w:hAnsiTheme="minorHAnsi" w:cstheme="minorHAnsi"/>
                <w:sz w:val="14"/>
                <w:szCs w:val="14"/>
              </w:rPr>
              <w:t>Porcentaje de matrícula de educación superior que logra la UTC</w:t>
            </w:r>
          </w:p>
        </w:tc>
        <w:tc>
          <w:tcPr>
            <w:tcW w:w="992" w:type="dxa"/>
            <w:vAlign w:val="center"/>
          </w:tcPr>
          <w:p w14:paraId="514C9D35" w14:textId="3F3F1037" w:rsidR="00C51640" w:rsidRPr="002150BE" w:rsidRDefault="00C51640"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sz w:val="14"/>
                <w:szCs w:val="14"/>
              </w:rPr>
              <w:t>Incrementar al 2027 en X puntos porcentuales (definidos por el Pp) la participación de la UTC en la matrícula de educación superior de Sinaloa respecto a la línea base 2023.</w:t>
            </w:r>
          </w:p>
        </w:tc>
        <w:tc>
          <w:tcPr>
            <w:tcW w:w="709" w:type="dxa"/>
            <w:vAlign w:val="center"/>
          </w:tcPr>
          <w:p w14:paraId="0337D226" w14:textId="715DF1DB" w:rsidR="00C51640" w:rsidRPr="002150BE" w:rsidRDefault="00C51640"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sz w:val="14"/>
                <w:szCs w:val="14"/>
              </w:rPr>
              <w:t>(Matrícula UTC / Matrícula educación superior en Sinaloa) * 100</w:t>
            </w:r>
          </w:p>
        </w:tc>
        <w:tc>
          <w:tcPr>
            <w:tcW w:w="992" w:type="dxa"/>
            <w:gridSpan w:val="3"/>
            <w:vAlign w:val="center"/>
          </w:tcPr>
          <w:p w14:paraId="0F85B1C2" w14:textId="3C1463A2" w:rsidR="00C51640" w:rsidRPr="002150BE" w:rsidRDefault="00C51640"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sz w:val="14"/>
                <w:szCs w:val="14"/>
              </w:rPr>
              <w:t>Porcentaje (%)</w:t>
            </w:r>
          </w:p>
        </w:tc>
        <w:tc>
          <w:tcPr>
            <w:tcW w:w="993" w:type="dxa"/>
            <w:gridSpan w:val="2"/>
            <w:vAlign w:val="center"/>
          </w:tcPr>
          <w:p w14:paraId="17010A91" w14:textId="7B8BEF66" w:rsidR="00C51640" w:rsidRPr="002150BE" w:rsidRDefault="00C51640"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Sí</w:t>
            </w:r>
          </w:p>
        </w:tc>
        <w:tc>
          <w:tcPr>
            <w:tcW w:w="708" w:type="dxa"/>
            <w:gridSpan w:val="2"/>
            <w:vAlign w:val="center"/>
          </w:tcPr>
          <w:p w14:paraId="1DFF11CD" w14:textId="426C2579" w:rsidR="00C51640" w:rsidRPr="002150BE" w:rsidRDefault="00C51640"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Sí</w:t>
            </w:r>
          </w:p>
        </w:tc>
        <w:tc>
          <w:tcPr>
            <w:tcW w:w="851" w:type="dxa"/>
            <w:gridSpan w:val="2"/>
            <w:vAlign w:val="center"/>
          </w:tcPr>
          <w:p w14:paraId="5D5AB6FE" w14:textId="49E671E4" w:rsidR="00C51640" w:rsidRPr="002150BE" w:rsidRDefault="00C51640"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Sí</w:t>
            </w:r>
          </w:p>
        </w:tc>
        <w:tc>
          <w:tcPr>
            <w:tcW w:w="1971" w:type="dxa"/>
            <w:gridSpan w:val="3"/>
            <w:vAlign w:val="center"/>
          </w:tcPr>
          <w:p w14:paraId="7C2B2016" w14:textId="31EBB8D3" w:rsidR="00C51640" w:rsidRPr="002150BE" w:rsidRDefault="00C51640"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Se alinea con el propósito de que más egresados de Educación Media Superior cursen programas de educación superior en la UTC. Es una meta de crecimiento moderado pero consistente con la capacidad institucional y la oferta educativa programada.</w:t>
            </w:r>
          </w:p>
        </w:tc>
      </w:tr>
      <w:tr w:rsidR="00C51640" w:rsidRPr="002150BE" w14:paraId="443C4F20" w14:textId="77777777" w:rsidTr="00CE01DF">
        <w:trPr>
          <w:trHeight w:val="285"/>
        </w:trPr>
        <w:tc>
          <w:tcPr>
            <w:tcW w:w="529" w:type="dxa"/>
            <w:vMerge/>
            <w:vAlign w:val="center"/>
            <w:hideMark/>
          </w:tcPr>
          <w:p w14:paraId="61E65BBB" w14:textId="77777777" w:rsidR="00C51640" w:rsidRPr="002150BE" w:rsidRDefault="00C51640" w:rsidP="00C51640">
            <w:pPr>
              <w:spacing w:after="0" w:line="240" w:lineRule="auto"/>
              <w:rPr>
                <w:rFonts w:asciiTheme="minorHAnsi" w:hAnsiTheme="minorHAnsi" w:cstheme="minorHAnsi"/>
                <w:color w:val="3A3838"/>
                <w:sz w:val="18"/>
                <w:szCs w:val="18"/>
                <w:lang w:eastAsia="es-MX"/>
              </w:rPr>
            </w:pPr>
          </w:p>
        </w:tc>
        <w:tc>
          <w:tcPr>
            <w:tcW w:w="752" w:type="dxa"/>
            <w:shd w:val="clear" w:color="auto" w:fill="F2F2F2" w:themeFill="background1" w:themeFillShade="F2"/>
            <w:noWrap/>
            <w:vAlign w:val="center"/>
            <w:hideMark/>
          </w:tcPr>
          <w:p w14:paraId="5D5A04CD" w14:textId="77777777" w:rsidR="00C51640" w:rsidRPr="002150BE" w:rsidRDefault="00C51640" w:rsidP="00C51640">
            <w:pPr>
              <w:spacing w:after="0" w:line="240" w:lineRule="auto"/>
              <w:rPr>
                <w:rFonts w:asciiTheme="minorHAnsi" w:hAnsiTheme="minorHAnsi" w:cstheme="minorHAnsi"/>
                <w:color w:val="3A3838"/>
                <w:sz w:val="14"/>
                <w:szCs w:val="16"/>
                <w:lang w:eastAsia="es-MX"/>
              </w:rPr>
            </w:pPr>
            <w:r w:rsidRPr="002150BE">
              <w:rPr>
                <w:rFonts w:asciiTheme="minorHAnsi" w:hAnsiTheme="minorHAnsi" w:cstheme="minorHAnsi"/>
                <w:color w:val="3A3838"/>
                <w:sz w:val="14"/>
                <w:szCs w:val="16"/>
                <w:lang w:eastAsia="es-MX"/>
              </w:rPr>
              <w:t>Componentes</w:t>
            </w:r>
          </w:p>
        </w:tc>
        <w:tc>
          <w:tcPr>
            <w:tcW w:w="1134" w:type="dxa"/>
            <w:noWrap/>
            <w:vAlign w:val="center"/>
          </w:tcPr>
          <w:p w14:paraId="61770D94" w14:textId="48AD4358" w:rsidR="00C51640" w:rsidRPr="002150BE" w:rsidRDefault="00C51640"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sz w:val="14"/>
                <w:szCs w:val="14"/>
              </w:rPr>
              <w:t>Conjunto de indicadores de componentes: % programas educativos ofertados; % programas acreditados; docentes por cada cien alumnos; % docentes con maestría y doctorado; % docentes SNI; % docentes en SSIT; % docentes de tiempo completo; alumnos promedio por salón; % formatos de transparencia; % informes de armonización y disciplina financiera; % solicitudes de acceso a la información atendidas</w:t>
            </w:r>
          </w:p>
        </w:tc>
        <w:tc>
          <w:tcPr>
            <w:tcW w:w="992" w:type="dxa"/>
            <w:vAlign w:val="center"/>
          </w:tcPr>
          <w:p w14:paraId="2F50D031" w14:textId="39FD7005" w:rsidR="00C51640" w:rsidRPr="002150BE" w:rsidRDefault="00C51640"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sz w:val="14"/>
                <w:szCs w:val="14"/>
              </w:rPr>
              <w:t>Lograr al 2027: oferta plena de los programas educativos programados (≈100%); un porcentaje de acreditación creciente (por ejemplo, ≥70% de los programas acreditados); mejorar progresivamente el perfil educativo y las condiciones contractuales del personal docente; mantener un número de alumnos por salón dentro de parámetros académicamente recomendables; y alcanzar niveles iguales o superiores al 90% en el cumplimiento de obligaciones de transparencia, armonización contable y atención de solicitudes de información.</w:t>
            </w:r>
          </w:p>
        </w:tc>
        <w:tc>
          <w:tcPr>
            <w:tcW w:w="709" w:type="dxa"/>
            <w:vAlign w:val="center"/>
          </w:tcPr>
          <w:p w14:paraId="4A4FB115" w14:textId="4ABF3C9E" w:rsidR="00C51640" w:rsidRPr="002150BE" w:rsidRDefault="00C51640"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sz w:val="14"/>
                <w:szCs w:val="14"/>
              </w:rPr>
              <w:t>Según fórmulas definidas en la MIR para cada indicador</w:t>
            </w:r>
          </w:p>
        </w:tc>
        <w:tc>
          <w:tcPr>
            <w:tcW w:w="992" w:type="dxa"/>
            <w:gridSpan w:val="3"/>
            <w:vAlign w:val="center"/>
          </w:tcPr>
          <w:p w14:paraId="6E493ED4" w14:textId="07E270CF" w:rsidR="00C51640" w:rsidRPr="002150BE" w:rsidRDefault="00C51640"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 razones; alumnos/salón</w:t>
            </w:r>
          </w:p>
        </w:tc>
        <w:tc>
          <w:tcPr>
            <w:tcW w:w="993" w:type="dxa"/>
            <w:gridSpan w:val="2"/>
            <w:vAlign w:val="center"/>
          </w:tcPr>
          <w:p w14:paraId="0AFC40CE" w14:textId="79664380" w:rsidR="00C51640" w:rsidRPr="002150BE" w:rsidRDefault="00C51640"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Sí</w:t>
            </w:r>
          </w:p>
        </w:tc>
        <w:tc>
          <w:tcPr>
            <w:tcW w:w="708" w:type="dxa"/>
            <w:gridSpan w:val="2"/>
            <w:vAlign w:val="center"/>
          </w:tcPr>
          <w:p w14:paraId="0A4EE6FF" w14:textId="633872AB" w:rsidR="00C51640" w:rsidRPr="002150BE" w:rsidRDefault="00C51640"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Sí</w:t>
            </w:r>
          </w:p>
        </w:tc>
        <w:tc>
          <w:tcPr>
            <w:tcW w:w="851" w:type="dxa"/>
            <w:gridSpan w:val="2"/>
            <w:vAlign w:val="center"/>
          </w:tcPr>
          <w:p w14:paraId="1000750B" w14:textId="0793FCFD" w:rsidR="00C51640" w:rsidRPr="002150BE" w:rsidRDefault="00C51640"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Sí</w:t>
            </w:r>
          </w:p>
        </w:tc>
        <w:tc>
          <w:tcPr>
            <w:tcW w:w="1971" w:type="dxa"/>
            <w:gridSpan w:val="3"/>
            <w:vAlign w:val="center"/>
          </w:tcPr>
          <w:p w14:paraId="7C96E782" w14:textId="37ED747D" w:rsidR="00C51640" w:rsidRPr="002150BE" w:rsidRDefault="00C51640"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Las metas combinan cobertura, calidad y gestión institucional, alineadas con la naturaleza de cada componente. Son metas de mejora continua pero realísticamente alcanzables con una expansión gradual de recursos y capacidades institucionales.</w:t>
            </w:r>
          </w:p>
        </w:tc>
      </w:tr>
      <w:tr w:rsidR="00C51640" w:rsidRPr="002150BE" w14:paraId="59FB1051" w14:textId="77777777" w:rsidTr="00CE01DF">
        <w:trPr>
          <w:trHeight w:val="299"/>
        </w:trPr>
        <w:tc>
          <w:tcPr>
            <w:tcW w:w="529" w:type="dxa"/>
            <w:vMerge/>
            <w:vAlign w:val="center"/>
            <w:hideMark/>
          </w:tcPr>
          <w:p w14:paraId="58B463DA" w14:textId="77777777" w:rsidR="00C51640" w:rsidRPr="002150BE" w:rsidRDefault="00C51640" w:rsidP="00C51640">
            <w:pPr>
              <w:spacing w:after="0" w:line="240" w:lineRule="auto"/>
              <w:rPr>
                <w:rFonts w:asciiTheme="minorHAnsi" w:hAnsiTheme="minorHAnsi" w:cstheme="minorHAnsi"/>
                <w:color w:val="3A3838"/>
                <w:sz w:val="18"/>
                <w:szCs w:val="18"/>
                <w:lang w:eastAsia="es-MX"/>
              </w:rPr>
            </w:pPr>
          </w:p>
        </w:tc>
        <w:tc>
          <w:tcPr>
            <w:tcW w:w="752" w:type="dxa"/>
            <w:shd w:val="clear" w:color="auto" w:fill="F2F2F2" w:themeFill="background1" w:themeFillShade="F2"/>
            <w:noWrap/>
            <w:vAlign w:val="center"/>
            <w:hideMark/>
          </w:tcPr>
          <w:p w14:paraId="1B678B3F" w14:textId="77777777" w:rsidR="00C51640" w:rsidRPr="002150BE" w:rsidRDefault="00C51640" w:rsidP="00C51640">
            <w:pPr>
              <w:spacing w:after="0" w:line="240" w:lineRule="auto"/>
              <w:rPr>
                <w:rFonts w:asciiTheme="minorHAnsi" w:hAnsiTheme="minorHAnsi" w:cstheme="minorHAnsi"/>
                <w:color w:val="3A3838"/>
                <w:sz w:val="14"/>
                <w:szCs w:val="16"/>
                <w:lang w:eastAsia="es-MX"/>
              </w:rPr>
            </w:pPr>
            <w:r w:rsidRPr="002150BE">
              <w:rPr>
                <w:rFonts w:asciiTheme="minorHAnsi" w:hAnsiTheme="minorHAnsi" w:cstheme="minorHAnsi"/>
                <w:color w:val="3A3838"/>
                <w:sz w:val="14"/>
                <w:szCs w:val="16"/>
                <w:lang w:eastAsia="es-MX"/>
              </w:rPr>
              <w:t>Actividades</w:t>
            </w:r>
          </w:p>
        </w:tc>
        <w:tc>
          <w:tcPr>
            <w:tcW w:w="1134" w:type="dxa"/>
            <w:noWrap/>
            <w:vAlign w:val="center"/>
          </w:tcPr>
          <w:p w14:paraId="6E55BCB0" w14:textId="4C5B6F88" w:rsidR="00C51640" w:rsidRPr="002150BE" w:rsidRDefault="00C51640" w:rsidP="00CE01DF">
            <w:pPr>
              <w:spacing w:after="0" w:line="240" w:lineRule="auto"/>
              <w:jc w:val="center"/>
              <w:rPr>
                <w:rFonts w:asciiTheme="minorHAnsi" w:hAnsiTheme="minorHAnsi" w:cstheme="minorHAnsi"/>
                <w:sz w:val="14"/>
                <w:szCs w:val="14"/>
                <w:lang w:eastAsia="es-MX"/>
              </w:rPr>
            </w:pPr>
            <w:r w:rsidRPr="002150BE">
              <w:rPr>
                <w:rFonts w:asciiTheme="minorHAnsi" w:hAnsiTheme="minorHAnsi" w:cstheme="minorHAnsi"/>
                <w:sz w:val="14"/>
                <w:szCs w:val="14"/>
                <w:lang w:eastAsia="es-MX"/>
              </w:rPr>
              <w:t xml:space="preserve">Conjunto de indicadores de actividades: % asistencia a expo universidades; % estudiantes que cursan estadía; % convenios suscritos; % avance en encuestas a egresados; % </w:t>
            </w:r>
            <w:r w:rsidRPr="002150BE">
              <w:rPr>
                <w:rFonts w:asciiTheme="minorHAnsi" w:hAnsiTheme="minorHAnsi" w:cstheme="minorHAnsi"/>
                <w:sz w:val="14"/>
                <w:szCs w:val="14"/>
                <w:lang w:eastAsia="es-MX"/>
              </w:rPr>
              <w:lastRenderedPageBreak/>
              <w:t>profesores capacitados y habilitados; % avance acciones de mantenimiento; suficiencia de internet; promedio de acervo físico y % acervos electrónicos; % actualización del marco normativo interno; suficiencia de plazas administrativas; tasa de variación de aportaciones; costo promedio por alumno; % regularización de predios</w:t>
            </w:r>
          </w:p>
        </w:tc>
        <w:tc>
          <w:tcPr>
            <w:tcW w:w="992" w:type="dxa"/>
            <w:vAlign w:val="center"/>
          </w:tcPr>
          <w:p w14:paraId="6A348CBE" w14:textId="0AFA0219" w:rsidR="00C51640" w:rsidRPr="002150BE" w:rsidRDefault="00C51640"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lastRenderedPageBreak/>
              <w:t xml:space="preserve">Alcanzar al menos 90% de ejecución de las actividades programadas (promoción, estadías, seguimiento de egresados, capacitación, mantenimiento, </w:t>
            </w:r>
            <w:r w:rsidRPr="002150BE">
              <w:rPr>
                <w:rFonts w:asciiTheme="minorHAnsi" w:hAnsiTheme="minorHAnsi" w:cstheme="minorHAnsi"/>
                <w:i/>
                <w:iCs/>
                <w:color w:val="3A3838"/>
                <w:sz w:val="14"/>
                <w:szCs w:val="14"/>
                <w:lang w:eastAsia="es-MX"/>
              </w:rPr>
              <w:lastRenderedPageBreak/>
              <w:t>fortalecimiento de TIC, actualización de acervos, actualización normativa, suficiencia de plazas, gestión de recursos y regularización de predios) para 2027, así como mantener estable o en mejora la relación costo promedio por alumno.</w:t>
            </w:r>
          </w:p>
        </w:tc>
        <w:tc>
          <w:tcPr>
            <w:tcW w:w="709" w:type="dxa"/>
            <w:vAlign w:val="center"/>
          </w:tcPr>
          <w:p w14:paraId="7D0848EF" w14:textId="7D5A5D55" w:rsidR="00C51640" w:rsidRPr="002150BE" w:rsidRDefault="00C51640"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lastRenderedPageBreak/>
              <w:t>Según fórmulas definidas en la MIR para cada indicador</w:t>
            </w:r>
          </w:p>
        </w:tc>
        <w:tc>
          <w:tcPr>
            <w:tcW w:w="992" w:type="dxa"/>
            <w:gridSpan w:val="3"/>
            <w:vAlign w:val="center"/>
          </w:tcPr>
          <w:p w14:paraId="41E2F8F4" w14:textId="28654541" w:rsidR="00C51640" w:rsidRPr="002150BE" w:rsidRDefault="00C51640"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Porcentaje (%); pesos por alumno; razones</w:t>
            </w:r>
          </w:p>
        </w:tc>
        <w:tc>
          <w:tcPr>
            <w:tcW w:w="993" w:type="dxa"/>
            <w:gridSpan w:val="2"/>
            <w:vAlign w:val="center"/>
          </w:tcPr>
          <w:p w14:paraId="3B75737F" w14:textId="594DF27F" w:rsidR="00C51640" w:rsidRPr="002150BE" w:rsidRDefault="00C51640"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Sí</w:t>
            </w:r>
          </w:p>
        </w:tc>
        <w:tc>
          <w:tcPr>
            <w:tcW w:w="708" w:type="dxa"/>
            <w:gridSpan w:val="2"/>
            <w:vAlign w:val="center"/>
          </w:tcPr>
          <w:p w14:paraId="23DC9439" w14:textId="1E5CDEDD" w:rsidR="00C51640" w:rsidRPr="002150BE" w:rsidRDefault="00C51640"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Sí</w:t>
            </w:r>
          </w:p>
        </w:tc>
        <w:tc>
          <w:tcPr>
            <w:tcW w:w="851" w:type="dxa"/>
            <w:gridSpan w:val="2"/>
            <w:vAlign w:val="center"/>
          </w:tcPr>
          <w:p w14:paraId="602F1450" w14:textId="6BDE7549" w:rsidR="00C51640" w:rsidRPr="002150BE" w:rsidRDefault="00C51640"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Sí</w:t>
            </w:r>
          </w:p>
        </w:tc>
        <w:tc>
          <w:tcPr>
            <w:tcW w:w="1971" w:type="dxa"/>
            <w:gridSpan w:val="3"/>
            <w:vAlign w:val="center"/>
          </w:tcPr>
          <w:p w14:paraId="092B3774" w14:textId="69187B55" w:rsidR="00C51640" w:rsidRPr="002150BE" w:rsidRDefault="00C51640"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Las metas están orientadas a asegurar que las actividades clave se ejecuten en altos niveles de cumplimiento y eficiencia, lo que contribuye directamente al logro de los componentes y del propósito. Son retadoras pero factibles considerando la trayectoria institucional y los recursos esperados.</w:t>
            </w:r>
          </w:p>
        </w:tc>
      </w:tr>
      <w:tr w:rsidR="00C51640" w:rsidRPr="002150BE" w14:paraId="5D20C2E2" w14:textId="77777777" w:rsidTr="00CE01DF">
        <w:trPr>
          <w:trHeight w:val="370"/>
        </w:trPr>
        <w:tc>
          <w:tcPr>
            <w:tcW w:w="529" w:type="dxa"/>
            <w:vMerge w:val="restart"/>
            <w:shd w:val="clear" w:color="auto" w:fill="D9D9D9" w:themeFill="background1" w:themeFillShade="D9"/>
            <w:noWrap/>
            <w:vAlign w:val="center"/>
            <w:hideMark/>
          </w:tcPr>
          <w:p w14:paraId="0FADCF97" w14:textId="77777777" w:rsidR="00C51640" w:rsidRPr="002150BE" w:rsidRDefault="00C51640" w:rsidP="00C51640">
            <w:pPr>
              <w:spacing w:after="0" w:line="240" w:lineRule="auto"/>
              <w:jc w:val="center"/>
              <w:rPr>
                <w:rFonts w:asciiTheme="minorHAnsi" w:hAnsiTheme="minorHAnsi" w:cstheme="minorHAnsi"/>
                <w:b/>
                <w:color w:val="3A3838"/>
                <w:sz w:val="18"/>
                <w:szCs w:val="18"/>
                <w:lang w:eastAsia="es-MX"/>
              </w:rPr>
            </w:pPr>
            <w:r w:rsidRPr="002150BE">
              <w:rPr>
                <w:rFonts w:asciiTheme="minorHAnsi" w:hAnsiTheme="minorHAnsi" w:cstheme="minorHAnsi"/>
                <w:b/>
                <w:color w:val="3A3838"/>
                <w:sz w:val="18"/>
                <w:szCs w:val="18"/>
                <w:lang w:eastAsia="es-MX"/>
              </w:rPr>
              <w:t>FID</w:t>
            </w:r>
          </w:p>
        </w:tc>
        <w:tc>
          <w:tcPr>
            <w:tcW w:w="752" w:type="dxa"/>
            <w:shd w:val="clear" w:color="auto" w:fill="F2F2F2" w:themeFill="background1" w:themeFillShade="F2"/>
            <w:noWrap/>
            <w:vAlign w:val="center"/>
            <w:hideMark/>
          </w:tcPr>
          <w:p w14:paraId="1A01975E" w14:textId="77777777" w:rsidR="00C51640" w:rsidRPr="002150BE" w:rsidRDefault="00C51640" w:rsidP="00C51640">
            <w:pPr>
              <w:spacing w:after="0" w:line="240" w:lineRule="auto"/>
              <w:rPr>
                <w:rFonts w:asciiTheme="minorHAnsi" w:hAnsiTheme="minorHAnsi" w:cstheme="minorHAnsi"/>
                <w:color w:val="3A3838"/>
                <w:sz w:val="14"/>
                <w:szCs w:val="16"/>
                <w:lang w:eastAsia="es-MX"/>
              </w:rPr>
            </w:pPr>
            <w:r w:rsidRPr="002150BE">
              <w:rPr>
                <w:rFonts w:asciiTheme="minorHAnsi" w:hAnsiTheme="minorHAnsi" w:cstheme="minorHAnsi"/>
                <w:color w:val="3A3838"/>
                <w:sz w:val="14"/>
                <w:szCs w:val="16"/>
                <w:lang w:eastAsia="es-MX"/>
              </w:rPr>
              <w:t>Indicador FID</w:t>
            </w:r>
          </w:p>
          <w:p w14:paraId="4A18BDE0" w14:textId="77777777" w:rsidR="00C51640" w:rsidRPr="002150BE" w:rsidRDefault="00C51640" w:rsidP="00C51640">
            <w:pPr>
              <w:spacing w:after="0" w:line="240" w:lineRule="auto"/>
              <w:rPr>
                <w:rFonts w:asciiTheme="minorHAnsi" w:hAnsiTheme="minorHAnsi" w:cstheme="minorHAnsi"/>
                <w:color w:val="3A3838"/>
                <w:sz w:val="14"/>
                <w:szCs w:val="16"/>
                <w:lang w:eastAsia="es-MX"/>
              </w:rPr>
            </w:pPr>
            <w:r w:rsidRPr="002150BE">
              <w:rPr>
                <w:rFonts w:asciiTheme="minorHAnsi" w:hAnsiTheme="minorHAnsi" w:cstheme="minorHAnsi"/>
                <w:color w:val="3A3838"/>
                <w:sz w:val="14"/>
                <w:szCs w:val="16"/>
                <w:lang w:eastAsia="es-MX"/>
              </w:rPr>
              <w:t>Estratégico</w:t>
            </w:r>
          </w:p>
        </w:tc>
        <w:tc>
          <w:tcPr>
            <w:tcW w:w="1134" w:type="dxa"/>
            <w:vAlign w:val="center"/>
            <w:hideMark/>
          </w:tcPr>
          <w:p w14:paraId="32391437" w14:textId="2B9AB9B3" w:rsidR="00C51640" w:rsidRPr="002150BE" w:rsidRDefault="00C51640" w:rsidP="00CE01DF">
            <w:pPr>
              <w:spacing w:after="0" w:line="240" w:lineRule="auto"/>
              <w:jc w:val="center"/>
              <w:rPr>
                <w:rFonts w:asciiTheme="minorHAnsi" w:hAnsiTheme="minorHAnsi" w:cstheme="minorHAnsi"/>
                <w:color w:val="3A3838"/>
                <w:sz w:val="14"/>
                <w:szCs w:val="14"/>
                <w:lang w:eastAsia="es-MX"/>
              </w:rPr>
            </w:pPr>
            <w:r w:rsidRPr="002150BE">
              <w:rPr>
                <w:rFonts w:asciiTheme="minorHAnsi" w:hAnsiTheme="minorHAnsi" w:cstheme="minorHAnsi"/>
                <w:color w:val="3A3838"/>
                <w:sz w:val="14"/>
                <w:szCs w:val="14"/>
                <w:lang w:eastAsia="es-MX"/>
              </w:rPr>
              <w:t>Porcentaje de matrícula de educación superior que logra la UTC</w:t>
            </w:r>
          </w:p>
        </w:tc>
        <w:tc>
          <w:tcPr>
            <w:tcW w:w="992" w:type="dxa"/>
            <w:vAlign w:val="center"/>
            <w:hideMark/>
          </w:tcPr>
          <w:p w14:paraId="52C953A7" w14:textId="69D2DD25" w:rsidR="00C51640" w:rsidRPr="002150BE" w:rsidRDefault="00C51640"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Igual que en el nivel Propósito: incrementar al 2027 la participación de la UTC en la matrícula de educación superior de Sinaloa respecto a 2023 en X puntos porcentuales.</w:t>
            </w:r>
          </w:p>
        </w:tc>
        <w:tc>
          <w:tcPr>
            <w:tcW w:w="709" w:type="dxa"/>
            <w:vAlign w:val="center"/>
            <w:hideMark/>
          </w:tcPr>
          <w:p w14:paraId="109B0710" w14:textId="0B3352CD" w:rsidR="00C51640" w:rsidRPr="002150BE" w:rsidRDefault="00C51640"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(Matrícula UTC / Matrícula educación superior en Sinaloa) * 100</w:t>
            </w:r>
          </w:p>
        </w:tc>
        <w:tc>
          <w:tcPr>
            <w:tcW w:w="992" w:type="dxa"/>
            <w:gridSpan w:val="3"/>
            <w:vAlign w:val="center"/>
            <w:hideMark/>
          </w:tcPr>
          <w:p w14:paraId="266A98AD" w14:textId="4AFC31E7" w:rsidR="00C51640" w:rsidRPr="002150BE" w:rsidRDefault="00C51640" w:rsidP="00CE01DF">
            <w:pPr>
              <w:spacing w:after="0" w:line="240" w:lineRule="auto"/>
              <w:jc w:val="center"/>
              <w:rPr>
                <w:rFonts w:asciiTheme="minorHAnsi" w:hAnsiTheme="minorHAnsi" w:cstheme="minorHAnsi"/>
                <w:i/>
                <w:iCs/>
                <w:color w:val="3A3838"/>
                <w:sz w:val="14"/>
                <w:szCs w:val="14"/>
                <w:lang w:eastAsia="es-MX"/>
              </w:rPr>
            </w:pPr>
          </w:p>
        </w:tc>
        <w:tc>
          <w:tcPr>
            <w:tcW w:w="993" w:type="dxa"/>
            <w:gridSpan w:val="2"/>
            <w:vAlign w:val="center"/>
            <w:hideMark/>
          </w:tcPr>
          <w:p w14:paraId="626FF099" w14:textId="4F3464AA" w:rsidR="00C51640" w:rsidRPr="002150BE" w:rsidRDefault="00C51640"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color w:val="000000"/>
                <w:sz w:val="14"/>
                <w:szCs w:val="14"/>
              </w:rPr>
              <w:t>Sí</w:t>
            </w:r>
          </w:p>
        </w:tc>
        <w:tc>
          <w:tcPr>
            <w:tcW w:w="708" w:type="dxa"/>
            <w:gridSpan w:val="2"/>
            <w:vAlign w:val="center"/>
            <w:hideMark/>
          </w:tcPr>
          <w:p w14:paraId="7B6E0FEB" w14:textId="26045FF7" w:rsidR="00C51640" w:rsidRPr="002150BE" w:rsidRDefault="00C51640"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color w:val="000000"/>
                <w:sz w:val="14"/>
                <w:szCs w:val="14"/>
              </w:rPr>
              <w:t>Sí</w:t>
            </w:r>
          </w:p>
        </w:tc>
        <w:tc>
          <w:tcPr>
            <w:tcW w:w="851" w:type="dxa"/>
            <w:gridSpan w:val="2"/>
            <w:vAlign w:val="center"/>
            <w:hideMark/>
          </w:tcPr>
          <w:p w14:paraId="4865B19E" w14:textId="56D37BE4" w:rsidR="00C51640" w:rsidRPr="002150BE" w:rsidRDefault="00C51640"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color w:val="000000"/>
                <w:sz w:val="14"/>
                <w:szCs w:val="14"/>
              </w:rPr>
              <w:t>Sí</w:t>
            </w:r>
          </w:p>
        </w:tc>
        <w:tc>
          <w:tcPr>
            <w:tcW w:w="1971" w:type="dxa"/>
            <w:gridSpan w:val="3"/>
            <w:vAlign w:val="center"/>
            <w:hideMark/>
          </w:tcPr>
          <w:p w14:paraId="005BCEFF" w14:textId="481343EF" w:rsidR="00C51640" w:rsidRPr="002150BE" w:rsidRDefault="00C51640"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Utilizar este indicador como FID estratégico refuerza el enfoque en la cobertura lograda por la UTC en el sistema estatal de educación superior.</w:t>
            </w:r>
          </w:p>
        </w:tc>
      </w:tr>
      <w:tr w:rsidR="00C51640" w:rsidRPr="002150BE" w14:paraId="0528E5E4" w14:textId="77777777" w:rsidTr="00CE01DF">
        <w:trPr>
          <w:trHeight w:val="370"/>
        </w:trPr>
        <w:tc>
          <w:tcPr>
            <w:tcW w:w="529" w:type="dxa"/>
            <w:vMerge/>
            <w:shd w:val="clear" w:color="auto" w:fill="D9D9D9" w:themeFill="background1" w:themeFillShade="D9"/>
            <w:noWrap/>
            <w:vAlign w:val="center"/>
          </w:tcPr>
          <w:p w14:paraId="4CE1456C" w14:textId="77777777" w:rsidR="00C51640" w:rsidRPr="002150BE" w:rsidRDefault="00C51640" w:rsidP="00C51640">
            <w:pPr>
              <w:spacing w:after="0" w:line="240" w:lineRule="auto"/>
              <w:rPr>
                <w:rFonts w:asciiTheme="minorHAnsi" w:hAnsiTheme="minorHAnsi" w:cstheme="minorHAnsi"/>
                <w:color w:val="3A3838"/>
                <w:sz w:val="18"/>
                <w:szCs w:val="18"/>
                <w:lang w:eastAsia="es-MX"/>
              </w:rPr>
            </w:pPr>
          </w:p>
        </w:tc>
        <w:tc>
          <w:tcPr>
            <w:tcW w:w="752" w:type="dxa"/>
            <w:shd w:val="clear" w:color="auto" w:fill="F2F2F2" w:themeFill="background1" w:themeFillShade="F2"/>
            <w:noWrap/>
            <w:vAlign w:val="center"/>
          </w:tcPr>
          <w:p w14:paraId="793128FB" w14:textId="77777777" w:rsidR="00C51640" w:rsidRPr="002150BE" w:rsidRDefault="00C51640" w:rsidP="00C51640">
            <w:pPr>
              <w:spacing w:after="0" w:line="240" w:lineRule="auto"/>
              <w:rPr>
                <w:rFonts w:asciiTheme="minorHAnsi" w:hAnsiTheme="minorHAnsi" w:cstheme="minorHAnsi"/>
                <w:color w:val="3A3838"/>
                <w:sz w:val="16"/>
                <w:szCs w:val="16"/>
                <w:lang w:eastAsia="es-MX"/>
              </w:rPr>
            </w:pPr>
            <w:r w:rsidRPr="002150BE">
              <w:rPr>
                <w:rFonts w:asciiTheme="minorHAnsi" w:hAnsiTheme="minorHAnsi" w:cstheme="minorHAnsi"/>
                <w:color w:val="3A3838"/>
                <w:sz w:val="14"/>
                <w:szCs w:val="16"/>
                <w:lang w:eastAsia="es-MX"/>
              </w:rPr>
              <w:t>Indicador FID Gestión</w:t>
            </w:r>
          </w:p>
        </w:tc>
        <w:tc>
          <w:tcPr>
            <w:tcW w:w="1134" w:type="dxa"/>
            <w:vAlign w:val="center"/>
          </w:tcPr>
          <w:p w14:paraId="0F89D8E0" w14:textId="2AA5F81D" w:rsidR="00C51640" w:rsidRPr="002150BE" w:rsidRDefault="00C51640" w:rsidP="00CE01DF">
            <w:pPr>
              <w:spacing w:after="0" w:line="240" w:lineRule="auto"/>
              <w:jc w:val="center"/>
              <w:rPr>
                <w:rFonts w:asciiTheme="minorHAnsi" w:hAnsiTheme="minorHAnsi" w:cstheme="minorHAnsi"/>
                <w:color w:val="3A3838"/>
                <w:sz w:val="14"/>
                <w:szCs w:val="14"/>
                <w:lang w:eastAsia="es-MX"/>
              </w:rPr>
            </w:pPr>
            <w:r w:rsidRPr="002150BE">
              <w:rPr>
                <w:rFonts w:asciiTheme="minorHAnsi" w:hAnsiTheme="minorHAnsi" w:cstheme="minorHAnsi"/>
                <w:color w:val="3A3838"/>
                <w:sz w:val="14"/>
                <w:szCs w:val="14"/>
                <w:lang w:eastAsia="es-MX"/>
              </w:rPr>
              <w:t>Tasa de variación de las aportaciones federales y estatales asignadas a la Universidad</w:t>
            </w:r>
          </w:p>
          <w:p w14:paraId="6DFE22D6" w14:textId="6998372E" w:rsidR="00C51640" w:rsidRPr="002150BE" w:rsidRDefault="00C51640" w:rsidP="00CE01DF">
            <w:pPr>
              <w:jc w:val="center"/>
              <w:rPr>
                <w:rFonts w:asciiTheme="minorHAnsi" w:hAnsiTheme="minorHAnsi" w:cstheme="minorHAnsi"/>
                <w:sz w:val="14"/>
                <w:szCs w:val="14"/>
                <w:lang w:eastAsia="es-MX"/>
              </w:rPr>
            </w:pPr>
          </w:p>
        </w:tc>
        <w:tc>
          <w:tcPr>
            <w:tcW w:w="992" w:type="dxa"/>
            <w:vAlign w:val="center"/>
          </w:tcPr>
          <w:p w14:paraId="498B5D1C" w14:textId="79987A49" w:rsidR="00C51640" w:rsidRPr="002150BE" w:rsidRDefault="00C51640"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Mantener una variación real no negativa de las aportaciones federales y estatales en el periodo 2023–2027 (≥ 0% cada año), y un crecimiento acumulado acorde con lo establecido en la planeación financiera.</w:t>
            </w:r>
          </w:p>
        </w:tc>
        <w:tc>
          <w:tcPr>
            <w:tcW w:w="709" w:type="dxa"/>
            <w:vAlign w:val="center"/>
          </w:tcPr>
          <w:p w14:paraId="027FCE45" w14:textId="0099CD4A" w:rsidR="00C51640" w:rsidRPr="002150BE" w:rsidRDefault="00C51640"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(Aportaciones federales y estatales recaudadas en el periodo – Aportaciones federales y estatales recaudadas en el periodo anterior) / Aportaciones federales y estatales recaudadas en el periodo anterior * 100</w:t>
            </w:r>
          </w:p>
        </w:tc>
        <w:tc>
          <w:tcPr>
            <w:tcW w:w="992" w:type="dxa"/>
            <w:gridSpan w:val="3"/>
            <w:vAlign w:val="center"/>
          </w:tcPr>
          <w:p w14:paraId="7C18F166" w14:textId="32A428B2" w:rsidR="00C51640" w:rsidRPr="002150BE" w:rsidRDefault="00C51640"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Porcentaje (%)</w:t>
            </w:r>
          </w:p>
        </w:tc>
        <w:tc>
          <w:tcPr>
            <w:tcW w:w="993" w:type="dxa"/>
            <w:gridSpan w:val="2"/>
            <w:vAlign w:val="center"/>
          </w:tcPr>
          <w:p w14:paraId="63F1C912" w14:textId="71B7AF2D" w:rsidR="00C51640" w:rsidRPr="002150BE" w:rsidRDefault="00C51640"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color w:val="000000"/>
                <w:sz w:val="14"/>
                <w:szCs w:val="14"/>
              </w:rPr>
              <w:t>Sí</w:t>
            </w:r>
          </w:p>
        </w:tc>
        <w:tc>
          <w:tcPr>
            <w:tcW w:w="708" w:type="dxa"/>
            <w:gridSpan w:val="2"/>
            <w:vAlign w:val="center"/>
          </w:tcPr>
          <w:p w14:paraId="4DBBA16A" w14:textId="55B3E28E" w:rsidR="00C51640" w:rsidRPr="002150BE" w:rsidRDefault="00C51640"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color w:val="000000"/>
                <w:sz w:val="14"/>
                <w:szCs w:val="14"/>
              </w:rPr>
              <w:t>Sí</w:t>
            </w:r>
          </w:p>
        </w:tc>
        <w:tc>
          <w:tcPr>
            <w:tcW w:w="851" w:type="dxa"/>
            <w:gridSpan w:val="2"/>
            <w:vAlign w:val="center"/>
          </w:tcPr>
          <w:p w14:paraId="322C2C3C" w14:textId="710747A3" w:rsidR="00C51640" w:rsidRPr="002150BE" w:rsidRDefault="00C51640"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color w:val="000000"/>
                <w:sz w:val="14"/>
                <w:szCs w:val="14"/>
              </w:rPr>
              <w:t>Sí</w:t>
            </w:r>
          </w:p>
        </w:tc>
        <w:tc>
          <w:tcPr>
            <w:tcW w:w="1971" w:type="dxa"/>
            <w:gridSpan w:val="3"/>
            <w:vAlign w:val="center"/>
          </w:tcPr>
          <w:p w14:paraId="63A9D3A2" w14:textId="579506D1" w:rsidR="00C51640" w:rsidRPr="002150BE" w:rsidRDefault="00C51640"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Es congruente con el objetivo de contar con recursos suficientes, orientado a evitar disminuciones reales en el financiamiento y a fortalecer la capacidad de respuesta institucional.</w:t>
            </w:r>
          </w:p>
        </w:tc>
      </w:tr>
      <w:tr w:rsidR="00C51640" w:rsidRPr="002150BE" w14:paraId="7DD752E8" w14:textId="77777777" w:rsidTr="00CE01DF">
        <w:trPr>
          <w:trHeight w:val="826"/>
        </w:trPr>
        <w:tc>
          <w:tcPr>
            <w:tcW w:w="529" w:type="dxa"/>
            <w:vMerge w:val="restart"/>
            <w:shd w:val="clear" w:color="auto" w:fill="D9D9D9" w:themeFill="background1" w:themeFillShade="D9"/>
            <w:vAlign w:val="center"/>
            <w:hideMark/>
          </w:tcPr>
          <w:p w14:paraId="6000ABC5" w14:textId="77777777" w:rsidR="00C51640" w:rsidRPr="002150BE" w:rsidRDefault="00C51640" w:rsidP="00C51640">
            <w:pPr>
              <w:spacing w:after="0" w:line="240" w:lineRule="auto"/>
              <w:jc w:val="center"/>
              <w:rPr>
                <w:rFonts w:asciiTheme="minorHAnsi" w:hAnsiTheme="minorHAnsi" w:cstheme="minorHAnsi"/>
                <w:b/>
                <w:color w:val="3A3838"/>
                <w:sz w:val="18"/>
                <w:szCs w:val="18"/>
                <w:lang w:eastAsia="es-MX"/>
              </w:rPr>
            </w:pPr>
            <w:r w:rsidRPr="002150BE">
              <w:rPr>
                <w:rFonts w:asciiTheme="minorHAnsi" w:hAnsiTheme="minorHAnsi" w:cstheme="minorHAnsi"/>
                <w:b/>
                <w:color w:val="3A3838"/>
                <w:sz w:val="18"/>
                <w:szCs w:val="18"/>
                <w:lang w:eastAsia="es-MX"/>
              </w:rPr>
              <w:t>MIR</w:t>
            </w:r>
          </w:p>
        </w:tc>
        <w:tc>
          <w:tcPr>
            <w:tcW w:w="752" w:type="dxa"/>
            <w:shd w:val="clear" w:color="auto" w:fill="D9D9D9" w:themeFill="background1" w:themeFillShade="D9"/>
            <w:vAlign w:val="center"/>
            <w:hideMark/>
          </w:tcPr>
          <w:p w14:paraId="14CA96E9" w14:textId="77777777" w:rsidR="00C51640" w:rsidRPr="002150BE" w:rsidRDefault="00C51640" w:rsidP="00C51640">
            <w:pPr>
              <w:spacing w:after="0" w:line="240" w:lineRule="auto"/>
              <w:jc w:val="center"/>
              <w:rPr>
                <w:rFonts w:asciiTheme="minorHAnsi" w:hAnsiTheme="minorHAnsi" w:cstheme="minorHAnsi"/>
                <w:b/>
                <w:color w:val="3A3838"/>
                <w:sz w:val="13"/>
                <w:szCs w:val="15"/>
                <w:lang w:eastAsia="es-MX"/>
              </w:rPr>
            </w:pPr>
            <w:r w:rsidRPr="002150BE">
              <w:rPr>
                <w:rFonts w:asciiTheme="minorHAnsi" w:hAnsiTheme="minorHAnsi" w:cstheme="minorHAnsi"/>
                <w:b/>
                <w:color w:val="3A3838"/>
                <w:sz w:val="13"/>
                <w:szCs w:val="15"/>
                <w:lang w:eastAsia="es-MX"/>
              </w:rPr>
              <w:t>Nivel de objetivo</w:t>
            </w:r>
          </w:p>
        </w:tc>
        <w:tc>
          <w:tcPr>
            <w:tcW w:w="2126" w:type="dxa"/>
            <w:gridSpan w:val="2"/>
            <w:shd w:val="clear" w:color="auto" w:fill="D9D9D9" w:themeFill="background1" w:themeFillShade="D9"/>
            <w:vAlign w:val="center"/>
            <w:hideMark/>
          </w:tcPr>
          <w:p w14:paraId="3B0C232A" w14:textId="77777777" w:rsidR="00C51640" w:rsidRPr="002150BE" w:rsidRDefault="00C51640" w:rsidP="00CE01DF">
            <w:pPr>
              <w:spacing w:after="0" w:line="240" w:lineRule="auto"/>
              <w:jc w:val="center"/>
              <w:rPr>
                <w:rFonts w:asciiTheme="minorHAnsi" w:hAnsiTheme="minorHAnsi" w:cstheme="minorHAnsi"/>
                <w:b/>
                <w:color w:val="3A3838"/>
                <w:sz w:val="13"/>
                <w:szCs w:val="15"/>
                <w:lang w:eastAsia="es-MX"/>
              </w:rPr>
            </w:pPr>
            <w:r w:rsidRPr="002150BE">
              <w:rPr>
                <w:rFonts w:asciiTheme="minorHAnsi" w:hAnsiTheme="minorHAnsi" w:cstheme="minorHAnsi"/>
                <w:b/>
                <w:color w:val="3A3838"/>
                <w:sz w:val="13"/>
                <w:szCs w:val="15"/>
                <w:lang w:eastAsia="es-MX"/>
              </w:rPr>
              <w:t>Nombre completo del documento donde se encuentra la información</w:t>
            </w:r>
          </w:p>
        </w:tc>
        <w:tc>
          <w:tcPr>
            <w:tcW w:w="1701" w:type="dxa"/>
            <w:gridSpan w:val="4"/>
            <w:shd w:val="clear" w:color="auto" w:fill="D9D9D9" w:themeFill="background1" w:themeFillShade="D9"/>
            <w:vAlign w:val="center"/>
            <w:hideMark/>
          </w:tcPr>
          <w:p w14:paraId="5BADD6C7" w14:textId="77777777" w:rsidR="00C51640" w:rsidRPr="002150BE" w:rsidRDefault="00C51640" w:rsidP="00CE01DF">
            <w:pPr>
              <w:spacing w:after="0" w:line="240" w:lineRule="auto"/>
              <w:jc w:val="center"/>
              <w:rPr>
                <w:rFonts w:asciiTheme="minorHAnsi" w:hAnsiTheme="minorHAnsi" w:cstheme="minorHAnsi"/>
                <w:b/>
                <w:color w:val="3A3838"/>
                <w:sz w:val="13"/>
                <w:szCs w:val="15"/>
                <w:lang w:eastAsia="es-MX"/>
              </w:rPr>
            </w:pPr>
            <w:r w:rsidRPr="002150BE">
              <w:rPr>
                <w:rFonts w:asciiTheme="minorHAnsi" w:hAnsiTheme="minorHAnsi" w:cstheme="minorHAnsi"/>
                <w:b/>
                <w:color w:val="3A3838"/>
                <w:sz w:val="13"/>
                <w:szCs w:val="15"/>
                <w:lang w:eastAsia="es-MX"/>
              </w:rPr>
              <w:t>Nombre del área administrativa que genera o publica la información</w:t>
            </w:r>
          </w:p>
        </w:tc>
        <w:tc>
          <w:tcPr>
            <w:tcW w:w="1701" w:type="dxa"/>
            <w:gridSpan w:val="4"/>
            <w:shd w:val="clear" w:color="auto" w:fill="D9D9D9" w:themeFill="background1" w:themeFillShade="D9"/>
            <w:vAlign w:val="center"/>
            <w:hideMark/>
          </w:tcPr>
          <w:p w14:paraId="371565F0" w14:textId="77777777" w:rsidR="00C51640" w:rsidRPr="002150BE" w:rsidRDefault="00C51640" w:rsidP="00CE01DF">
            <w:pPr>
              <w:spacing w:after="0" w:line="240" w:lineRule="auto"/>
              <w:jc w:val="center"/>
              <w:rPr>
                <w:rFonts w:asciiTheme="minorHAnsi" w:hAnsiTheme="minorHAnsi" w:cstheme="minorHAnsi"/>
                <w:b/>
                <w:color w:val="3A3838"/>
                <w:sz w:val="13"/>
                <w:szCs w:val="15"/>
                <w:lang w:eastAsia="es-MX"/>
              </w:rPr>
            </w:pPr>
            <w:r w:rsidRPr="002150BE">
              <w:rPr>
                <w:rFonts w:asciiTheme="minorHAnsi" w:hAnsiTheme="minorHAnsi" w:cstheme="minorHAnsi"/>
                <w:b/>
                <w:color w:val="3A3838"/>
                <w:sz w:val="13"/>
                <w:szCs w:val="15"/>
                <w:lang w:eastAsia="es-MX"/>
              </w:rPr>
              <w:t>Año/periodo en que se emite el documento y si coincide con la frecuencia de medición del indicador</w:t>
            </w:r>
          </w:p>
        </w:tc>
        <w:tc>
          <w:tcPr>
            <w:tcW w:w="1418" w:type="dxa"/>
            <w:gridSpan w:val="3"/>
            <w:shd w:val="clear" w:color="auto" w:fill="D9D9D9" w:themeFill="background1" w:themeFillShade="D9"/>
            <w:vAlign w:val="center"/>
            <w:hideMark/>
          </w:tcPr>
          <w:p w14:paraId="4AF47344" w14:textId="77777777" w:rsidR="00C51640" w:rsidRPr="002150BE" w:rsidRDefault="00C51640" w:rsidP="00CE01DF">
            <w:pPr>
              <w:spacing w:after="0" w:line="240" w:lineRule="auto"/>
              <w:jc w:val="center"/>
              <w:rPr>
                <w:rFonts w:asciiTheme="minorHAnsi" w:hAnsiTheme="minorHAnsi" w:cstheme="minorHAnsi"/>
                <w:b/>
                <w:color w:val="3A3838"/>
                <w:sz w:val="13"/>
                <w:szCs w:val="15"/>
                <w:lang w:eastAsia="es-MX"/>
              </w:rPr>
            </w:pPr>
            <w:r w:rsidRPr="002150BE">
              <w:rPr>
                <w:rFonts w:asciiTheme="minorHAnsi" w:hAnsiTheme="minorHAnsi" w:cstheme="minorHAnsi"/>
                <w:b/>
                <w:color w:val="3A3838"/>
                <w:sz w:val="13"/>
                <w:szCs w:val="15"/>
                <w:lang w:eastAsia="es-MX"/>
              </w:rPr>
              <w:t>Ubicación física del documento o la liga electrónica donde se encuentra publicada la información</w:t>
            </w:r>
          </w:p>
        </w:tc>
        <w:tc>
          <w:tcPr>
            <w:tcW w:w="1404" w:type="dxa"/>
            <w:gridSpan w:val="2"/>
            <w:shd w:val="clear" w:color="auto" w:fill="D9D9D9" w:themeFill="background1" w:themeFillShade="D9"/>
            <w:vAlign w:val="center"/>
            <w:hideMark/>
          </w:tcPr>
          <w:p w14:paraId="1EF6D1B2" w14:textId="77777777" w:rsidR="00C51640" w:rsidRPr="002150BE" w:rsidRDefault="00C51640" w:rsidP="00CE01DF">
            <w:pPr>
              <w:spacing w:after="0" w:line="240" w:lineRule="auto"/>
              <w:jc w:val="center"/>
              <w:rPr>
                <w:rFonts w:asciiTheme="minorHAnsi" w:hAnsiTheme="minorHAnsi" w:cstheme="minorHAnsi"/>
                <w:b/>
                <w:color w:val="3A3838"/>
                <w:sz w:val="13"/>
                <w:szCs w:val="15"/>
                <w:lang w:eastAsia="es-MX"/>
              </w:rPr>
            </w:pPr>
            <w:r w:rsidRPr="002150BE">
              <w:rPr>
                <w:rFonts w:asciiTheme="minorHAnsi" w:hAnsiTheme="minorHAnsi" w:cstheme="minorHAnsi"/>
                <w:b/>
                <w:color w:val="3A3838"/>
                <w:sz w:val="13"/>
                <w:szCs w:val="15"/>
                <w:lang w:eastAsia="es-MX"/>
              </w:rPr>
              <w:t>Propuesta de mejora del medio de verificación</w:t>
            </w:r>
          </w:p>
        </w:tc>
      </w:tr>
      <w:tr w:rsidR="00435FC2" w:rsidRPr="002150BE" w14:paraId="3A3A6DD3" w14:textId="77777777" w:rsidTr="00CE01DF">
        <w:trPr>
          <w:trHeight w:val="370"/>
        </w:trPr>
        <w:tc>
          <w:tcPr>
            <w:tcW w:w="529" w:type="dxa"/>
            <w:vMerge/>
            <w:vAlign w:val="center"/>
            <w:hideMark/>
          </w:tcPr>
          <w:p w14:paraId="489485CB" w14:textId="77777777" w:rsidR="00435FC2" w:rsidRPr="002150BE" w:rsidRDefault="00435FC2" w:rsidP="00435FC2">
            <w:pPr>
              <w:spacing w:after="0" w:line="240" w:lineRule="auto"/>
              <w:rPr>
                <w:rFonts w:asciiTheme="minorHAnsi" w:hAnsiTheme="minorHAnsi" w:cstheme="minorHAnsi"/>
                <w:color w:val="3A3838"/>
                <w:sz w:val="18"/>
                <w:szCs w:val="18"/>
                <w:lang w:eastAsia="es-MX"/>
              </w:rPr>
            </w:pPr>
          </w:p>
        </w:tc>
        <w:tc>
          <w:tcPr>
            <w:tcW w:w="752" w:type="dxa"/>
            <w:shd w:val="clear" w:color="auto" w:fill="F2F2F2" w:themeFill="background1" w:themeFillShade="F2"/>
            <w:vAlign w:val="center"/>
            <w:hideMark/>
          </w:tcPr>
          <w:p w14:paraId="04DD8BCD" w14:textId="77777777" w:rsidR="00435FC2" w:rsidRPr="002150BE" w:rsidRDefault="00435FC2" w:rsidP="00435FC2">
            <w:pPr>
              <w:spacing w:after="0" w:line="240" w:lineRule="auto"/>
              <w:rPr>
                <w:rFonts w:asciiTheme="minorHAnsi" w:hAnsiTheme="minorHAnsi" w:cstheme="minorHAnsi"/>
                <w:color w:val="3A3838"/>
                <w:sz w:val="14"/>
                <w:szCs w:val="16"/>
                <w:lang w:eastAsia="es-MX"/>
              </w:rPr>
            </w:pPr>
            <w:r w:rsidRPr="002150BE">
              <w:rPr>
                <w:rFonts w:asciiTheme="minorHAnsi" w:hAnsiTheme="minorHAnsi" w:cstheme="minorHAnsi"/>
                <w:color w:val="3A3838"/>
                <w:sz w:val="14"/>
                <w:szCs w:val="16"/>
                <w:lang w:eastAsia="es-MX"/>
              </w:rPr>
              <w:t>Fin</w:t>
            </w:r>
          </w:p>
        </w:tc>
        <w:tc>
          <w:tcPr>
            <w:tcW w:w="2126" w:type="dxa"/>
            <w:gridSpan w:val="2"/>
            <w:vAlign w:val="center"/>
            <w:hideMark/>
          </w:tcPr>
          <w:p w14:paraId="4248DCCA" w14:textId="40D0D00D" w:rsidR="00435FC2" w:rsidRPr="002150BE" w:rsidRDefault="00435FC2"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color w:val="3A3838"/>
                <w:sz w:val="14"/>
                <w:szCs w:val="14"/>
                <w:lang w:eastAsia="es-MX"/>
              </w:rPr>
              <w:t>Estadística educativa – Sinaloa (indicadores de esperanza y grado de escolaridad)</w:t>
            </w:r>
          </w:p>
        </w:tc>
        <w:tc>
          <w:tcPr>
            <w:tcW w:w="1701" w:type="dxa"/>
            <w:gridSpan w:val="4"/>
            <w:vAlign w:val="center"/>
            <w:hideMark/>
          </w:tcPr>
          <w:p w14:paraId="004AF665" w14:textId="60A0E969" w:rsidR="00435FC2" w:rsidRPr="002150BE" w:rsidRDefault="00435FC2"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sz w:val="14"/>
                <w:szCs w:val="14"/>
              </w:rPr>
              <w:t>SEP – Dirección General de Planeación, Programación y Estadística Educativa</w:t>
            </w:r>
          </w:p>
        </w:tc>
        <w:tc>
          <w:tcPr>
            <w:tcW w:w="1701" w:type="dxa"/>
            <w:gridSpan w:val="4"/>
            <w:vAlign w:val="center"/>
            <w:hideMark/>
          </w:tcPr>
          <w:p w14:paraId="56DB3F55" w14:textId="39166D48" w:rsidR="00435FC2" w:rsidRPr="002150BE" w:rsidRDefault="00435FC2"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sz w:val="14"/>
                <w:szCs w:val="14"/>
              </w:rPr>
              <w:t>Ciclos escolares 2023–2024, 2024–2025, con actualización anual</w:t>
            </w:r>
          </w:p>
        </w:tc>
        <w:tc>
          <w:tcPr>
            <w:tcW w:w="1418" w:type="dxa"/>
            <w:gridSpan w:val="3"/>
            <w:vAlign w:val="center"/>
            <w:hideMark/>
          </w:tcPr>
          <w:p w14:paraId="34197407" w14:textId="5F96E206" w:rsidR="00435FC2" w:rsidRPr="002150BE" w:rsidRDefault="00435FC2"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sz w:val="14"/>
                <w:szCs w:val="14"/>
              </w:rPr>
              <w:t>Archivo digital en la Coordinación de Planeación de la UTC y liga al portal de SEP: planeacion.sep.gob.mx</w:t>
            </w:r>
            <w:r w:rsidR="00C44532" w:rsidRPr="002150BE">
              <w:rPr>
                <w:rFonts w:asciiTheme="minorHAnsi" w:hAnsiTheme="minorHAnsi" w:cstheme="minorHAnsi"/>
                <w:i/>
                <w:iCs/>
                <w:sz w:val="14"/>
                <w:szCs w:val="14"/>
              </w:rPr>
              <w:t xml:space="preserve">  </w:t>
            </w:r>
            <w:r w:rsidRPr="002150BE">
              <w:rPr>
                <w:rFonts w:asciiTheme="minorHAnsi" w:hAnsiTheme="minorHAnsi" w:cstheme="minorHAnsi"/>
                <w:i/>
                <w:iCs/>
                <w:sz w:val="14"/>
                <w:szCs w:val="14"/>
              </w:rPr>
              <w:t>(sección Estadística educativa – Entidad federativa Sinaloa)</w:t>
            </w:r>
          </w:p>
        </w:tc>
        <w:tc>
          <w:tcPr>
            <w:tcW w:w="1404" w:type="dxa"/>
            <w:gridSpan w:val="2"/>
            <w:vAlign w:val="center"/>
            <w:hideMark/>
          </w:tcPr>
          <w:p w14:paraId="4F84F1BB" w14:textId="4F3BB663" w:rsidR="00435FC2" w:rsidRPr="002150BE" w:rsidRDefault="00435FC2" w:rsidP="00CE01DF">
            <w:pPr>
              <w:spacing w:after="0" w:line="240" w:lineRule="auto"/>
              <w:jc w:val="center"/>
              <w:rPr>
                <w:rFonts w:asciiTheme="minorHAnsi" w:hAnsiTheme="minorHAnsi" w:cstheme="minorHAnsi"/>
                <w:i/>
                <w:iCs/>
                <w:color w:val="000000"/>
                <w:sz w:val="14"/>
                <w:szCs w:val="14"/>
                <w:lang w:eastAsia="es-MX"/>
              </w:rPr>
            </w:pPr>
            <w:r w:rsidRPr="002150BE">
              <w:rPr>
                <w:rFonts w:asciiTheme="minorHAnsi" w:hAnsiTheme="minorHAnsi" w:cstheme="minorHAnsi"/>
                <w:i/>
                <w:iCs/>
                <w:sz w:val="14"/>
                <w:szCs w:val="14"/>
              </w:rPr>
              <w:t>Formalizar en la UTC un repositorio digital con versiones descargadas de los informes anuales de SEP, identificando claramente año y fecha de descarga para asegurar trazabilidad.</w:t>
            </w:r>
          </w:p>
        </w:tc>
      </w:tr>
      <w:tr w:rsidR="00C44532" w:rsidRPr="002150BE" w14:paraId="40E11106" w14:textId="77777777" w:rsidTr="00CE01DF">
        <w:trPr>
          <w:trHeight w:val="370"/>
        </w:trPr>
        <w:tc>
          <w:tcPr>
            <w:tcW w:w="529" w:type="dxa"/>
            <w:vMerge/>
            <w:vAlign w:val="center"/>
            <w:hideMark/>
          </w:tcPr>
          <w:p w14:paraId="6E93F7CA" w14:textId="77777777" w:rsidR="00C44532" w:rsidRPr="002150BE" w:rsidRDefault="00C44532" w:rsidP="00C44532">
            <w:pPr>
              <w:spacing w:after="0" w:line="240" w:lineRule="auto"/>
              <w:rPr>
                <w:rFonts w:asciiTheme="minorHAnsi" w:hAnsiTheme="minorHAnsi" w:cstheme="minorHAnsi"/>
                <w:color w:val="3A3838"/>
                <w:sz w:val="18"/>
                <w:szCs w:val="18"/>
                <w:lang w:eastAsia="es-MX"/>
              </w:rPr>
            </w:pPr>
          </w:p>
        </w:tc>
        <w:tc>
          <w:tcPr>
            <w:tcW w:w="752" w:type="dxa"/>
            <w:shd w:val="clear" w:color="auto" w:fill="F2F2F2" w:themeFill="background1" w:themeFillShade="F2"/>
            <w:noWrap/>
            <w:vAlign w:val="center"/>
            <w:hideMark/>
          </w:tcPr>
          <w:p w14:paraId="3D95ECCE" w14:textId="77777777" w:rsidR="00C44532" w:rsidRPr="002150BE" w:rsidRDefault="00C44532" w:rsidP="00C44532">
            <w:pPr>
              <w:spacing w:after="0" w:line="240" w:lineRule="auto"/>
              <w:rPr>
                <w:rFonts w:asciiTheme="minorHAnsi" w:hAnsiTheme="minorHAnsi" w:cstheme="minorHAnsi"/>
                <w:color w:val="3A3838"/>
                <w:sz w:val="14"/>
                <w:szCs w:val="16"/>
                <w:lang w:eastAsia="es-MX"/>
              </w:rPr>
            </w:pPr>
            <w:r w:rsidRPr="002150BE">
              <w:rPr>
                <w:rFonts w:asciiTheme="minorHAnsi" w:hAnsiTheme="minorHAnsi" w:cstheme="minorHAnsi"/>
                <w:color w:val="3A3838"/>
                <w:sz w:val="14"/>
                <w:szCs w:val="16"/>
                <w:lang w:eastAsia="es-MX"/>
              </w:rPr>
              <w:t>Propósito</w:t>
            </w:r>
          </w:p>
        </w:tc>
        <w:tc>
          <w:tcPr>
            <w:tcW w:w="2126" w:type="dxa"/>
            <w:gridSpan w:val="2"/>
            <w:vAlign w:val="center"/>
            <w:hideMark/>
          </w:tcPr>
          <w:p w14:paraId="3BAA6E62" w14:textId="3FB9305C" w:rsidR="00C44532" w:rsidRPr="002150BE" w:rsidRDefault="00C44532"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sz w:val="14"/>
                <w:szCs w:val="14"/>
              </w:rPr>
              <w:t>Avances trimestrales – Matrícula escolar promedio de la UTC; Matrícula escolar por entidad federativa según nivel educativo</w:t>
            </w:r>
          </w:p>
        </w:tc>
        <w:tc>
          <w:tcPr>
            <w:tcW w:w="1701" w:type="dxa"/>
            <w:gridSpan w:val="4"/>
            <w:vAlign w:val="center"/>
            <w:hideMark/>
          </w:tcPr>
          <w:p w14:paraId="14596D63" w14:textId="779650FA" w:rsidR="00C44532" w:rsidRPr="002150BE" w:rsidRDefault="00C44532"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sz w:val="14"/>
                <w:szCs w:val="14"/>
              </w:rPr>
              <w:t>UTC – área de Planeación / Servicios Escolares; INEGI</w:t>
            </w:r>
          </w:p>
        </w:tc>
        <w:tc>
          <w:tcPr>
            <w:tcW w:w="1701" w:type="dxa"/>
            <w:gridSpan w:val="4"/>
            <w:vAlign w:val="center"/>
            <w:hideMark/>
          </w:tcPr>
          <w:p w14:paraId="45C622E4" w14:textId="05C61E17" w:rsidR="00C44532" w:rsidRPr="002150BE" w:rsidRDefault="00C44532"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sz w:val="14"/>
                <w:szCs w:val="14"/>
              </w:rPr>
              <w:t>Reportes trimestrales de la UTC (2023–2027) y datos anuales de INEGI que coinciden con el ciclo escolar</w:t>
            </w:r>
          </w:p>
        </w:tc>
        <w:tc>
          <w:tcPr>
            <w:tcW w:w="1418" w:type="dxa"/>
            <w:gridSpan w:val="3"/>
            <w:vAlign w:val="center"/>
            <w:hideMark/>
          </w:tcPr>
          <w:p w14:paraId="5D3559F2" w14:textId="2F0AC940" w:rsidR="00C44532" w:rsidRPr="002150BE" w:rsidRDefault="00C44532"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sz w:val="14"/>
                <w:szCs w:val="14"/>
              </w:rPr>
              <w:t xml:space="preserve">Sitio institucional UTC: </w:t>
            </w:r>
            <w:hyperlink r:id="rId28" w:history="1">
              <w:r w:rsidRPr="002150BE">
                <w:rPr>
                  <w:rStyle w:val="Hipervnculo"/>
                  <w:rFonts w:asciiTheme="minorHAnsi" w:hAnsiTheme="minorHAnsi" w:cstheme="minorHAnsi"/>
                  <w:i/>
                  <w:iCs/>
                  <w:sz w:val="14"/>
                  <w:szCs w:val="14"/>
                </w:rPr>
                <w:t>https://utculiacan.edu.mx/pbr-sed/</w:t>
              </w:r>
            </w:hyperlink>
            <w:r w:rsidRPr="002150BE">
              <w:rPr>
                <w:rFonts w:asciiTheme="minorHAnsi" w:hAnsiTheme="minorHAnsi" w:cstheme="minorHAnsi"/>
                <w:i/>
                <w:iCs/>
                <w:sz w:val="14"/>
                <w:szCs w:val="14"/>
              </w:rPr>
              <w:t xml:space="preserve">   (apartado Matrícula); portal de INEGI (tabulados de matrícula por entidad y nivel educativo)</w:t>
            </w:r>
          </w:p>
        </w:tc>
        <w:tc>
          <w:tcPr>
            <w:tcW w:w="1404" w:type="dxa"/>
            <w:gridSpan w:val="2"/>
            <w:vAlign w:val="center"/>
            <w:hideMark/>
          </w:tcPr>
          <w:p w14:paraId="62C87FF0" w14:textId="07FC5295" w:rsidR="00C44532" w:rsidRPr="002150BE" w:rsidRDefault="00C44532" w:rsidP="00CE01DF">
            <w:pPr>
              <w:spacing w:after="0" w:line="240" w:lineRule="auto"/>
              <w:jc w:val="center"/>
              <w:rPr>
                <w:rFonts w:asciiTheme="minorHAnsi" w:hAnsiTheme="minorHAnsi" w:cstheme="minorHAnsi"/>
                <w:i/>
                <w:iCs/>
                <w:color w:val="000000"/>
                <w:sz w:val="14"/>
                <w:szCs w:val="14"/>
                <w:lang w:eastAsia="es-MX"/>
              </w:rPr>
            </w:pPr>
            <w:r w:rsidRPr="002150BE">
              <w:rPr>
                <w:rFonts w:asciiTheme="minorHAnsi" w:hAnsiTheme="minorHAnsi" w:cstheme="minorHAnsi"/>
                <w:i/>
                <w:iCs/>
                <w:sz w:val="14"/>
                <w:szCs w:val="14"/>
              </w:rPr>
              <w:t>Integrar en una sola base de datos la serie histórica 2023–2027, documentando la fuente y fecha de corte para cada dato, y estandarizar el formato de los reportes trimestrales.</w:t>
            </w:r>
          </w:p>
        </w:tc>
      </w:tr>
      <w:tr w:rsidR="00C44532" w:rsidRPr="002150BE" w14:paraId="0D488897" w14:textId="77777777" w:rsidTr="00CE01DF">
        <w:trPr>
          <w:trHeight w:val="370"/>
        </w:trPr>
        <w:tc>
          <w:tcPr>
            <w:tcW w:w="529" w:type="dxa"/>
            <w:vMerge/>
            <w:vAlign w:val="center"/>
            <w:hideMark/>
          </w:tcPr>
          <w:p w14:paraId="1556F02B" w14:textId="77777777" w:rsidR="00C44532" w:rsidRPr="002150BE" w:rsidRDefault="00C44532" w:rsidP="00C44532">
            <w:pPr>
              <w:spacing w:after="0" w:line="240" w:lineRule="auto"/>
              <w:rPr>
                <w:rFonts w:asciiTheme="minorHAnsi" w:hAnsiTheme="minorHAnsi" w:cstheme="minorHAnsi"/>
                <w:color w:val="3A3838"/>
                <w:sz w:val="18"/>
                <w:szCs w:val="18"/>
                <w:lang w:eastAsia="es-MX"/>
              </w:rPr>
            </w:pPr>
          </w:p>
        </w:tc>
        <w:tc>
          <w:tcPr>
            <w:tcW w:w="752" w:type="dxa"/>
            <w:shd w:val="clear" w:color="auto" w:fill="F2F2F2" w:themeFill="background1" w:themeFillShade="F2"/>
            <w:noWrap/>
            <w:vAlign w:val="center"/>
            <w:hideMark/>
          </w:tcPr>
          <w:p w14:paraId="4348650F" w14:textId="77777777" w:rsidR="00C44532" w:rsidRPr="002150BE" w:rsidRDefault="00C44532" w:rsidP="00C44532">
            <w:pPr>
              <w:spacing w:after="0" w:line="240" w:lineRule="auto"/>
              <w:rPr>
                <w:rFonts w:asciiTheme="minorHAnsi" w:hAnsiTheme="minorHAnsi" w:cstheme="minorHAnsi"/>
                <w:color w:val="3A3838"/>
                <w:sz w:val="14"/>
                <w:szCs w:val="16"/>
                <w:lang w:eastAsia="es-MX"/>
              </w:rPr>
            </w:pPr>
            <w:r w:rsidRPr="002150BE">
              <w:rPr>
                <w:rFonts w:asciiTheme="minorHAnsi" w:hAnsiTheme="minorHAnsi" w:cstheme="minorHAnsi"/>
                <w:color w:val="3A3838"/>
                <w:sz w:val="14"/>
                <w:szCs w:val="16"/>
                <w:lang w:eastAsia="es-MX"/>
              </w:rPr>
              <w:t>Componentes</w:t>
            </w:r>
          </w:p>
        </w:tc>
        <w:tc>
          <w:tcPr>
            <w:tcW w:w="2126" w:type="dxa"/>
            <w:gridSpan w:val="2"/>
            <w:vAlign w:val="center"/>
            <w:hideMark/>
          </w:tcPr>
          <w:p w14:paraId="4B59B635" w14:textId="69CE15C9" w:rsidR="00C44532" w:rsidRPr="002150BE" w:rsidRDefault="00C44532"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sz w:val="14"/>
                <w:szCs w:val="14"/>
              </w:rPr>
              <w:t>Avances trimestrales – Oferta educativa; Avances trimestrales – Docentes; Avances trimestrales – Alumnos e infraestructura; PNT – Obligaciones generales y específicas; Informes de armonización contable y disciplina financiera</w:t>
            </w:r>
          </w:p>
        </w:tc>
        <w:tc>
          <w:tcPr>
            <w:tcW w:w="1701" w:type="dxa"/>
            <w:gridSpan w:val="4"/>
            <w:vAlign w:val="center"/>
            <w:hideMark/>
          </w:tcPr>
          <w:p w14:paraId="4BAFED37" w14:textId="3E707884" w:rsidR="00C44532" w:rsidRPr="002150BE" w:rsidRDefault="00C44532"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sz w:val="14"/>
                <w:szCs w:val="14"/>
              </w:rPr>
              <w:t>UTC – áreas Académica, Recursos Humanos, Administración y Transparencia; Plataforma Nacional de Transparencia; Secretaría de Administración y Finanzas estatal</w:t>
            </w:r>
          </w:p>
        </w:tc>
        <w:tc>
          <w:tcPr>
            <w:tcW w:w="1701" w:type="dxa"/>
            <w:gridSpan w:val="4"/>
            <w:vAlign w:val="center"/>
            <w:hideMark/>
          </w:tcPr>
          <w:p w14:paraId="372C2847" w14:textId="6478D66D" w:rsidR="00C44532" w:rsidRPr="002150BE" w:rsidRDefault="00C44532"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sz w:val="14"/>
                <w:szCs w:val="14"/>
              </w:rPr>
              <w:t>Reportes trimestrales y anuales 2023–2027, acordes con la frecuencia de los indicadores</w:t>
            </w:r>
          </w:p>
        </w:tc>
        <w:tc>
          <w:tcPr>
            <w:tcW w:w="1418" w:type="dxa"/>
            <w:gridSpan w:val="3"/>
            <w:vAlign w:val="center"/>
            <w:hideMark/>
          </w:tcPr>
          <w:p w14:paraId="341208B5" w14:textId="4AD3CED8" w:rsidR="00C44532" w:rsidRPr="002150BE" w:rsidRDefault="00C44532" w:rsidP="00CE01DF">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sz w:val="14"/>
                <w:szCs w:val="14"/>
              </w:rPr>
              <w:t xml:space="preserve">Sitio UTC: </w:t>
            </w:r>
            <w:hyperlink r:id="rId29" w:history="1">
              <w:r w:rsidRPr="002150BE">
                <w:rPr>
                  <w:rStyle w:val="Hipervnculo"/>
                  <w:rFonts w:asciiTheme="minorHAnsi" w:hAnsiTheme="minorHAnsi" w:cstheme="minorHAnsi"/>
                  <w:i/>
                  <w:iCs/>
                  <w:sz w:val="14"/>
                  <w:szCs w:val="14"/>
                </w:rPr>
                <w:t>https://utculiacan.edu.mx/pbr-sed/</w:t>
              </w:r>
            </w:hyperlink>
            <w:r w:rsidRPr="002150BE">
              <w:rPr>
                <w:rFonts w:asciiTheme="minorHAnsi" w:hAnsiTheme="minorHAnsi" w:cstheme="minorHAnsi"/>
                <w:i/>
                <w:iCs/>
                <w:sz w:val="14"/>
                <w:szCs w:val="14"/>
              </w:rPr>
              <w:t xml:space="preserve"> (Oferta educativa, Docentes, Alumnos e infraestructura, Administración); PNT; portal de armonización contable estatal</w:t>
            </w:r>
          </w:p>
        </w:tc>
        <w:tc>
          <w:tcPr>
            <w:tcW w:w="1404" w:type="dxa"/>
            <w:gridSpan w:val="2"/>
            <w:vAlign w:val="center"/>
            <w:hideMark/>
          </w:tcPr>
          <w:p w14:paraId="32E4C439" w14:textId="05C2C00C" w:rsidR="00C44532" w:rsidRPr="002150BE" w:rsidRDefault="00C44532" w:rsidP="00CE01DF">
            <w:pPr>
              <w:spacing w:after="0" w:line="240" w:lineRule="auto"/>
              <w:jc w:val="center"/>
              <w:rPr>
                <w:rFonts w:asciiTheme="minorHAnsi" w:hAnsiTheme="minorHAnsi" w:cstheme="minorHAnsi"/>
                <w:i/>
                <w:iCs/>
                <w:color w:val="000000"/>
                <w:sz w:val="14"/>
                <w:szCs w:val="14"/>
                <w:lang w:eastAsia="es-MX"/>
              </w:rPr>
            </w:pPr>
            <w:r w:rsidRPr="002150BE">
              <w:rPr>
                <w:rFonts w:asciiTheme="minorHAnsi" w:hAnsiTheme="minorHAnsi" w:cstheme="minorHAnsi"/>
                <w:i/>
                <w:iCs/>
                <w:sz w:val="14"/>
                <w:szCs w:val="14"/>
              </w:rPr>
              <w:t>Generar fichas técnicas internas por indicador con referencia explícita al reporte, periodo, responsable y ubicación del archivo. Homologar la nomenclatura de archivos y asegurar que todos los informes sean descargables y auditables.</w:t>
            </w:r>
          </w:p>
        </w:tc>
      </w:tr>
      <w:tr w:rsidR="00C44532" w:rsidRPr="002150BE" w14:paraId="40C9A189" w14:textId="77777777" w:rsidTr="004F7314">
        <w:trPr>
          <w:trHeight w:val="370"/>
        </w:trPr>
        <w:tc>
          <w:tcPr>
            <w:tcW w:w="529" w:type="dxa"/>
            <w:vMerge/>
            <w:vAlign w:val="center"/>
            <w:hideMark/>
          </w:tcPr>
          <w:p w14:paraId="32ACC014" w14:textId="77777777" w:rsidR="00C44532" w:rsidRPr="002150BE" w:rsidRDefault="00C44532" w:rsidP="00C44532">
            <w:pPr>
              <w:spacing w:after="0" w:line="240" w:lineRule="auto"/>
              <w:rPr>
                <w:rFonts w:asciiTheme="minorHAnsi" w:hAnsiTheme="minorHAnsi" w:cstheme="minorHAnsi"/>
                <w:color w:val="3A3838"/>
                <w:sz w:val="18"/>
                <w:szCs w:val="18"/>
                <w:lang w:eastAsia="es-MX"/>
              </w:rPr>
            </w:pPr>
          </w:p>
        </w:tc>
        <w:tc>
          <w:tcPr>
            <w:tcW w:w="752" w:type="dxa"/>
            <w:shd w:val="clear" w:color="auto" w:fill="F2F2F2" w:themeFill="background1" w:themeFillShade="F2"/>
            <w:noWrap/>
            <w:vAlign w:val="center"/>
            <w:hideMark/>
          </w:tcPr>
          <w:p w14:paraId="28519416" w14:textId="77777777" w:rsidR="00C44532" w:rsidRPr="002150BE" w:rsidRDefault="00C44532" w:rsidP="00C44532">
            <w:pPr>
              <w:spacing w:after="0" w:line="240" w:lineRule="auto"/>
              <w:rPr>
                <w:rFonts w:asciiTheme="minorHAnsi" w:hAnsiTheme="minorHAnsi" w:cstheme="minorHAnsi"/>
                <w:color w:val="3A3838"/>
                <w:sz w:val="14"/>
                <w:szCs w:val="16"/>
                <w:lang w:eastAsia="es-MX"/>
              </w:rPr>
            </w:pPr>
            <w:r w:rsidRPr="002150BE">
              <w:rPr>
                <w:rFonts w:asciiTheme="minorHAnsi" w:hAnsiTheme="minorHAnsi" w:cstheme="minorHAnsi"/>
                <w:color w:val="3A3838"/>
                <w:sz w:val="14"/>
                <w:szCs w:val="16"/>
                <w:lang w:eastAsia="es-MX"/>
              </w:rPr>
              <w:t>Actividades</w:t>
            </w:r>
          </w:p>
        </w:tc>
        <w:tc>
          <w:tcPr>
            <w:tcW w:w="2126" w:type="dxa"/>
            <w:gridSpan w:val="2"/>
            <w:hideMark/>
          </w:tcPr>
          <w:p w14:paraId="5CAADB25" w14:textId="2186E25A" w:rsidR="00C44532" w:rsidRPr="002150BE" w:rsidRDefault="00C44532" w:rsidP="00C44532">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sz w:val="14"/>
                <w:szCs w:val="14"/>
              </w:rPr>
              <w:t>Avances trimestrales – Promoción institucional; Avances trimestrales – Matrícula escolar promedio de la UTC; Avances trimestrales – Seguimiento de egresados; Avances trimestrales – Docentes; Avances trimestrales – Administración (mantenimiento, internet, acervos, marco normativo, plazas, recursos, regularización de predios)</w:t>
            </w:r>
          </w:p>
        </w:tc>
        <w:tc>
          <w:tcPr>
            <w:tcW w:w="1701" w:type="dxa"/>
            <w:gridSpan w:val="4"/>
            <w:hideMark/>
          </w:tcPr>
          <w:p w14:paraId="21A5FB67" w14:textId="5D91FEFB" w:rsidR="00C44532" w:rsidRPr="002150BE" w:rsidRDefault="00C44532" w:rsidP="00C44532">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sz w:val="14"/>
                <w:szCs w:val="14"/>
              </w:rPr>
              <w:t>UTC – áreas de Vinculación, Servicios Escolares, Seguimiento de Egresados, Docencia, Administración, Jurídico</w:t>
            </w:r>
          </w:p>
        </w:tc>
        <w:tc>
          <w:tcPr>
            <w:tcW w:w="1701" w:type="dxa"/>
            <w:gridSpan w:val="4"/>
            <w:hideMark/>
          </w:tcPr>
          <w:p w14:paraId="77AA538A" w14:textId="3ED9C255" w:rsidR="00C44532" w:rsidRPr="002150BE" w:rsidRDefault="00C44532" w:rsidP="00C44532">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sz w:val="14"/>
                <w:szCs w:val="14"/>
              </w:rPr>
              <w:t>Reportes trimestrales y anuales 2023–2027, coherentes con la medición trimestral/anual de cada indicador</w:t>
            </w:r>
          </w:p>
        </w:tc>
        <w:tc>
          <w:tcPr>
            <w:tcW w:w="1418" w:type="dxa"/>
            <w:gridSpan w:val="3"/>
            <w:hideMark/>
          </w:tcPr>
          <w:p w14:paraId="5C53CD04" w14:textId="18D48C93" w:rsidR="00C44532" w:rsidRPr="002150BE" w:rsidRDefault="00C44532" w:rsidP="00C44532">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sz w:val="14"/>
                <w:szCs w:val="14"/>
              </w:rPr>
              <w:t>Sitio UTC: https://utculiacan.edu.mx/pbr-sed/ (Promoción, Seguimiento de egresados, Docentes, Administración)</w:t>
            </w:r>
          </w:p>
        </w:tc>
        <w:tc>
          <w:tcPr>
            <w:tcW w:w="1404" w:type="dxa"/>
            <w:gridSpan w:val="2"/>
            <w:hideMark/>
          </w:tcPr>
          <w:p w14:paraId="15ED0446" w14:textId="7C78097A" w:rsidR="00C44532" w:rsidRPr="002150BE" w:rsidRDefault="00C44532" w:rsidP="00C44532">
            <w:pPr>
              <w:spacing w:after="0" w:line="240" w:lineRule="auto"/>
              <w:jc w:val="center"/>
              <w:rPr>
                <w:rFonts w:asciiTheme="minorHAnsi" w:hAnsiTheme="minorHAnsi" w:cstheme="minorHAnsi"/>
                <w:i/>
                <w:iCs/>
                <w:color w:val="000000"/>
                <w:sz w:val="14"/>
                <w:szCs w:val="14"/>
                <w:lang w:eastAsia="es-MX"/>
              </w:rPr>
            </w:pPr>
            <w:r w:rsidRPr="002150BE">
              <w:rPr>
                <w:rFonts w:asciiTheme="minorHAnsi" w:hAnsiTheme="minorHAnsi" w:cstheme="minorHAnsi"/>
                <w:i/>
                <w:iCs/>
                <w:sz w:val="14"/>
                <w:szCs w:val="14"/>
              </w:rPr>
              <w:t>Consolidar en una matriz única de seguimiento (por cuatrimestre y año) el avance de todas las actividades, con vinculación al archivo fuente (liga o ruta de red), y documentar el procedimiento para la integración y validación de la información.</w:t>
            </w:r>
          </w:p>
        </w:tc>
      </w:tr>
      <w:tr w:rsidR="00C44532" w:rsidRPr="002150BE" w14:paraId="7452D56D" w14:textId="77777777" w:rsidTr="00C44532">
        <w:trPr>
          <w:trHeight w:val="370"/>
        </w:trPr>
        <w:tc>
          <w:tcPr>
            <w:tcW w:w="529" w:type="dxa"/>
            <w:vMerge w:val="restart"/>
            <w:shd w:val="clear" w:color="auto" w:fill="D9D9D9" w:themeFill="background1" w:themeFillShade="D9"/>
            <w:noWrap/>
            <w:vAlign w:val="center"/>
            <w:hideMark/>
          </w:tcPr>
          <w:p w14:paraId="1246CFC7" w14:textId="77777777" w:rsidR="00C44532" w:rsidRPr="002150BE" w:rsidRDefault="00C44532" w:rsidP="00C44532">
            <w:pPr>
              <w:spacing w:after="0" w:line="240" w:lineRule="auto"/>
              <w:jc w:val="center"/>
              <w:rPr>
                <w:rFonts w:asciiTheme="minorHAnsi" w:hAnsiTheme="minorHAnsi" w:cstheme="minorHAnsi"/>
                <w:b/>
                <w:color w:val="3A3838"/>
                <w:sz w:val="18"/>
                <w:szCs w:val="18"/>
                <w:lang w:eastAsia="es-MX"/>
              </w:rPr>
            </w:pPr>
            <w:r w:rsidRPr="002150BE">
              <w:rPr>
                <w:rFonts w:asciiTheme="minorHAnsi" w:hAnsiTheme="minorHAnsi" w:cstheme="minorHAnsi"/>
                <w:b/>
                <w:color w:val="3A3838"/>
                <w:sz w:val="18"/>
                <w:szCs w:val="18"/>
                <w:lang w:eastAsia="es-MX"/>
              </w:rPr>
              <w:t>FID</w:t>
            </w:r>
          </w:p>
        </w:tc>
        <w:tc>
          <w:tcPr>
            <w:tcW w:w="752" w:type="dxa"/>
            <w:shd w:val="clear" w:color="auto" w:fill="F2F2F2" w:themeFill="background1" w:themeFillShade="F2"/>
            <w:noWrap/>
            <w:vAlign w:val="center"/>
            <w:hideMark/>
          </w:tcPr>
          <w:p w14:paraId="419DB1F3" w14:textId="77777777" w:rsidR="00C44532" w:rsidRPr="002150BE" w:rsidRDefault="00C44532" w:rsidP="00C44532">
            <w:pPr>
              <w:spacing w:after="0" w:line="240" w:lineRule="auto"/>
              <w:rPr>
                <w:rFonts w:asciiTheme="minorHAnsi" w:hAnsiTheme="minorHAnsi" w:cstheme="minorHAnsi"/>
                <w:color w:val="3A3838"/>
                <w:sz w:val="14"/>
                <w:szCs w:val="18"/>
                <w:lang w:eastAsia="es-MX"/>
              </w:rPr>
            </w:pPr>
            <w:r w:rsidRPr="002150BE">
              <w:rPr>
                <w:rFonts w:asciiTheme="minorHAnsi" w:hAnsiTheme="minorHAnsi" w:cstheme="minorHAnsi"/>
                <w:color w:val="3A3838"/>
                <w:sz w:val="14"/>
                <w:szCs w:val="18"/>
                <w:lang w:eastAsia="es-MX"/>
              </w:rPr>
              <w:t>Indicador FID Estratégico</w:t>
            </w:r>
          </w:p>
        </w:tc>
        <w:tc>
          <w:tcPr>
            <w:tcW w:w="2126" w:type="dxa"/>
            <w:gridSpan w:val="2"/>
            <w:vAlign w:val="center"/>
            <w:hideMark/>
          </w:tcPr>
          <w:p w14:paraId="59C09B01" w14:textId="6ABFF5F4" w:rsidR="00C44532" w:rsidRPr="002150BE" w:rsidRDefault="00C44532" w:rsidP="00C44532">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sz w:val="14"/>
                <w:szCs w:val="14"/>
              </w:rPr>
              <w:t>Avances trimestrales – Matrícula escolar promedio de la UTC; Matrícula escolar por entidad federativa (INEGI)</w:t>
            </w:r>
          </w:p>
        </w:tc>
        <w:tc>
          <w:tcPr>
            <w:tcW w:w="1701" w:type="dxa"/>
            <w:gridSpan w:val="4"/>
            <w:vAlign w:val="center"/>
            <w:hideMark/>
          </w:tcPr>
          <w:p w14:paraId="4D076C80" w14:textId="28863B68" w:rsidR="00C44532" w:rsidRPr="002150BE" w:rsidRDefault="00C44532" w:rsidP="00C44532">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sz w:val="14"/>
                <w:szCs w:val="14"/>
              </w:rPr>
              <w:t>UTC – Planeación / Servicios Escolares; INEGI</w:t>
            </w:r>
          </w:p>
        </w:tc>
        <w:tc>
          <w:tcPr>
            <w:tcW w:w="1701" w:type="dxa"/>
            <w:gridSpan w:val="4"/>
            <w:vAlign w:val="center"/>
            <w:hideMark/>
          </w:tcPr>
          <w:p w14:paraId="30DA3CFF" w14:textId="17DE8560" w:rsidR="00C44532" w:rsidRPr="002150BE" w:rsidRDefault="00C44532" w:rsidP="00C44532">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sz w:val="14"/>
                <w:szCs w:val="14"/>
              </w:rPr>
              <w:t>Reportes 2023–2027; actualización anual del padrón de matrícula</w:t>
            </w:r>
          </w:p>
        </w:tc>
        <w:tc>
          <w:tcPr>
            <w:tcW w:w="1418" w:type="dxa"/>
            <w:gridSpan w:val="3"/>
            <w:vAlign w:val="center"/>
            <w:hideMark/>
          </w:tcPr>
          <w:p w14:paraId="3F62DBF4" w14:textId="3AC371DE" w:rsidR="00C44532" w:rsidRPr="002150BE" w:rsidRDefault="00C44532" w:rsidP="00C44532">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sz w:val="14"/>
                <w:szCs w:val="14"/>
              </w:rPr>
              <w:t>Sitio UTC y portal INEGI</w:t>
            </w:r>
          </w:p>
        </w:tc>
        <w:tc>
          <w:tcPr>
            <w:tcW w:w="1404" w:type="dxa"/>
            <w:gridSpan w:val="2"/>
            <w:vAlign w:val="center"/>
            <w:hideMark/>
          </w:tcPr>
          <w:p w14:paraId="4E9CE6E6" w14:textId="0ED0BC1F" w:rsidR="00C44532" w:rsidRPr="002150BE" w:rsidRDefault="00C44532" w:rsidP="00C44532">
            <w:pPr>
              <w:spacing w:after="0" w:line="240" w:lineRule="auto"/>
              <w:jc w:val="center"/>
              <w:rPr>
                <w:rFonts w:asciiTheme="minorHAnsi" w:hAnsiTheme="minorHAnsi" w:cstheme="minorHAnsi"/>
                <w:i/>
                <w:iCs/>
                <w:color w:val="000000"/>
                <w:sz w:val="14"/>
                <w:szCs w:val="14"/>
                <w:lang w:eastAsia="es-MX"/>
              </w:rPr>
            </w:pPr>
            <w:r w:rsidRPr="002150BE">
              <w:rPr>
                <w:rFonts w:asciiTheme="minorHAnsi" w:hAnsiTheme="minorHAnsi" w:cstheme="minorHAnsi"/>
                <w:i/>
                <w:iCs/>
                <w:sz w:val="14"/>
                <w:szCs w:val="14"/>
              </w:rPr>
              <w:t>Vincular explícitamente en la ficha del indicador FID la tabla específica de INEGI utilizada y la serie de matrícula de la UTC, asegurando consistencia de definiciones (ciclos, niveles educativos).</w:t>
            </w:r>
          </w:p>
        </w:tc>
      </w:tr>
      <w:tr w:rsidR="00C44532" w:rsidRPr="002150BE" w14:paraId="3DE12844" w14:textId="77777777" w:rsidTr="00C44532">
        <w:trPr>
          <w:trHeight w:val="370"/>
        </w:trPr>
        <w:tc>
          <w:tcPr>
            <w:tcW w:w="529" w:type="dxa"/>
            <w:vMerge/>
            <w:shd w:val="clear" w:color="auto" w:fill="D9D9D9" w:themeFill="background1" w:themeFillShade="D9"/>
            <w:noWrap/>
            <w:vAlign w:val="center"/>
          </w:tcPr>
          <w:p w14:paraId="28D2A891" w14:textId="77777777" w:rsidR="00C44532" w:rsidRPr="002150BE" w:rsidRDefault="00C44532" w:rsidP="00C44532">
            <w:pPr>
              <w:spacing w:after="0" w:line="240" w:lineRule="auto"/>
              <w:rPr>
                <w:rFonts w:asciiTheme="minorHAnsi" w:hAnsiTheme="minorHAnsi" w:cstheme="minorHAnsi"/>
                <w:color w:val="3A3838"/>
                <w:sz w:val="18"/>
                <w:szCs w:val="18"/>
                <w:lang w:eastAsia="es-MX"/>
              </w:rPr>
            </w:pPr>
          </w:p>
        </w:tc>
        <w:tc>
          <w:tcPr>
            <w:tcW w:w="752" w:type="dxa"/>
            <w:shd w:val="clear" w:color="auto" w:fill="F2F2F2" w:themeFill="background1" w:themeFillShade="F2"/>
            <w:noWrap/>
            <w:vAlign w:val="center"/>
          </w:tcPr>
          <w:p w14:paraId="349980CB" w14:textId="77777777" w:rsidR="00C44532" w:rsidRPr="002150BE" w:rsidRDefault="00C44532" w:rsidP="00C44532">
            <w:pPr>
              <w:spacing w:after="0" w:line="240" w:lineRule="auto"/>
              <w:rPr>
                <w:rFonts w:asciiTheme="minorHAnsi" w:hAnsiTheme="minorHAnsi" w:cstheme="minorHAnsi"/>
                <w:color w:val="3A3838"/>
                <w:sz w:val="14"/>
                <w:szCs w:val="18"/>
                <w:lang w:eastAsia="es-MX"/>
              </w:rPr>
            </w:pPr>
            <w:r w:rsidRPr="002150BE">
              <w:rPr>
                <w:rFonts w:asciiTheme="minorHAnsi" w:hAnsiTheme="minorHAnsi" w:cstheme="minorHAnsi"/>
                <w:color w:val="3A3838"/>
                <w:sz w:val="14"/>
                <w:szCs w:val="18"/>
                <w:lang w:eastAsia="es-MX"/>
              </w:rPr>
              <w:t>Indicador FID Gestión</w:t>
            </w:r>
          </w:p>
        </w:tc>
        <w:tc>
          <w:tcPr>
            <w:tcW w:w="2126" w:type="dxa"/>
            <w:gridSpan w:val="2"/>
            <w:vAlign w:val="center"/>
          </w:tcPr>
          <w:p w14:paraId="7FEEB579" w14:textId="78CDB0B9" w:rsidR="00C44532" w:rsidRPr="002150BE" w:rsidRDefault="00C44532" w:rsidP="00C44532">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sz w:val="14"/>
                <w:szCs w:val="14"/>
              </w:rPr>
              <w:t>Avances trimestrales – Administración (recursos presupuestales); Informes de armonización contable y disciplina financiera; Presupuesto anual aprobado</w:t>
            </w:r>
          </w:p>
        </w:tc>
        <w:tc>
          <w:tcPr>
            <w:tcW w:w="1701" w:type="dxa"/>
            <w:gridSpan w:val="4"/>
            <w:vAlign w:val="center"/>
          </w:tcPr>
          <w:p w14:paraId="03B4D8F9" w14:textId="0601A3A5" w:rsidR="00C44532" w:rsidRPr="002150BE" w:rsidRDefault="00C44532" w:rsidP="00C44532">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sz w:val="14"/>
                <w:szCs w:val="14"/>
              </w:rPr>
              <w:t>UTC – Administración y Finanzas; Secretaría de Administración y Finanzas estatal</w:t>
            </w:r>
          </w:p>
        </w:tc>
        <w:tc>
          <w:tcPr>
            <w:tcW w:w="1701" w:type="dxa"/>
            <w:gridSpan w:val="4"/>
            <w:vAlign w:val="center"/>
          </w:tcPr>
          <w:p w14:paraId="4BF47F3B" w14:textId="07EF9CEE" w:rsidR="00C44532" w:rsidRPr="002150BE" w:rsidRDefault="00C44532" w:rsidP="00C44532">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sz w:val="14"/>
                <w:szCs w:val="14"/>
              </w:rPr>
              <w:t>Ejercicios fiscales 2023–2027, con reportes trimestrales y anuales</w:t>
            </w:r>
          </w:p>
        </w:tc>
        <w:tc>
          <w:tcPr>
            <w:tcW w:w="1418" w:type="dxa"/>
            <w:gridSpan w:val="3"/>
            <w:vAlign w:val="center"/>
          </w:tcPr>
          <w:p w14:paraId="7DC1CBCD" w14:textId="0E63FB7B" w:rsidR="00C44532" w:rsidRPr="002150BE" w:rsidRDefault="00C44532" w:rsidP="00C44532">
            <w:pPr>
              <w:spacing w:after="0" w:line="240" w:lineRule="auto"/>
              <w:jc w:val="center"/>
              <w:rPr>
                <w:rFonts w:asciiTheme="minorHAnsi" w:hAnsiTheme="minorHAnsi" w:cstheme="minorHAnsi"/>
                <w:i/>
                <w:iCs/>
                <w:color w:val="3A3838"/>
                <w:sz w:val="14"/>
                <w:szCs w:val="14"/>
                <w:lang w:eastAsia="es-MX"/>
              </w:rPr>
            </w:pPr>
            <w:r w:rsidRPr="002150BE">
              <w:rPr>
                <w:rFonts w:asciiTheme="minorHAnsi" w:hAnsiTheme="minorHAnsi" w:cstheme="minorHAnsi"/>
                <w:i/>
                <w:iCs/>
                <w:sz w:val="14"/>
                <w:szCs w:val="14"/>
              </w:rPr>
              <w:t>Sitio UTC (armonización contable) y portal estatal de armonización contable</w:t>
            </w:r>
          </w:p>
        </w:tc>
        <w:tc>
          <w:tcPr>
            <w:tcW w:w="1404" w:type="dxa"/>
            <w:gridSpan w:val="2"/>
            <w:vAlign w:val="center"/>
          </w:tcPr>
          <w:p w14:paraId="0EB481B8" w14:textId="2CB346D2" w:rsidR="00C44532" w:rsidRPr="002150BE" w:rsidRDefault="00C44532" w:rsidP="00C44532">
            <w:pPr>
              <w:spacing w:after="0" w:line="240" w:lineRule="auto"/>
              <w:jc w:val="center"/>
              <w:rPr>
                <w:rFonts w:asciiTheme="minorHAnsi" w:hAnsiTheme="minorHAnsi" w:cstheme="minorHAnsi"/>
                <w:i/>
                <w:iCs/>
                <w:color w:val="000000"/>
                <w:sz w:val="14"/>
                <w:szCs w:val="14"/>
                <w:lang w:eastAsia="es-MX"/>
              </w:rPr>
            </w:pPr>
            <w:r w:rsidRPr="002150BE">
              <w:rPr>
                <w:rFonts w:asciiTheme="minorHAnsi" w:hAnsiTheme="minorHAnsi" w:cstheme="minorHAnsi"/>
                <w:i/>
                <w:iCs/>
                <w:sz w:val="14"/>
                <w:szCs w:val="14"/>
              </w:rPr>
              <w:t>Definir un procedimiento documentado para el cálculo de la tasa de variación de aportaciones, indicando fuentes, fechas de corte y concordancia entre las cifras reportadas en armonización contable y en el ISD.</w:t>
            </w:r>
          </w:p>
        </w:tc>
      </w:tr>
      <w:tr w:rsidR="00C51640" w:rsidRPr="002150BE" w14:paraId="354E02C1" w14:textId="77777777" w:rsidTr="003C4A56">
        <w:trPr>
          <w:trHeight w:val="370"/>
        </w:trPr>
        <w:tc>
          <w:tcPr>
            <w:tcW w:w="529" w:type="dxa"/>
            <w:vMerge w:val="restart"/>
            <w:shd w:val="clear" w:color="auto" w:fill="D9D9D9" w:themeFill="background1" w:themeFillShade="D9"/>
            <w:noWrap/>
            <w:vAlign w:val="center"/>
          </w:tcPr>
          <w:p w14:paraId="7E453C06" w14:textId="77777777" w:rsidR="00C51640" w:rsidRPr="002150BE" w:rsidRDefault="00C51640" w:rsidP="00C51640">
            <w:pPr>
              <w:spacing w:after="0" w:line="240" w:lineRule="auto"/>
              <w:jc w:val="center"/>
              <w:rPr>
                <w:rFonts w:asciiTheme="minorHAnsi" w:hAnsiTheme="minorHAnsi" w:cstheme="minorHAnsi"/>
                <w:b/>
                <w:color w:val="3A3838"/>
                <w:sz w:val="18"/>
                <w:szCs w:val="18"/>
                <w:lang w:eastAsia="es-MX"/>
              </w:rPr>
            </w:pPr>
            <w:r w:rsidRPr="002150BE">
              <w:rPr>
                <w:rFonts w:asciiTheme="minorHAnsi" w:hAnsiTheme="minorHAnsi" w:cstheme="minorHAnsi"/>
                <w:b/>
                <w:color w:val="3A3838"/>
                <w:sz w:val="18"/>
                <w:szCs w:val="18"/>
                <w:lang w:eastAsia="es-MX"/>
              </w:rPr>
              <w:t>MIR</w:t>
            </w:r>
          </w:p>
        </w:tc>
        <w:tc>
          <w:tcPr>
            <w:tcW w:w="752" w:type="dxa"/>
            <w:shd w:val="clear" w:color="auto" w:fill="D9D9D9" w:themeFill="background1" w:themeFillShade="D9"/>
            <w:noWrap/>
            <w:vAlign w:val="center"/>
          </w:tcPr>
          <w:p w14:paraId="411CC0B2" w14:textId="77777777" w:rsidR="00C51640" w:rsidRPr="002150BE" w:rsidRDefault="00C51640" w:rsidP="00C51640">
            <w:pPr>
              <w:spacing w:after="0" w:line="240" w:lineRule="auto"/>
              <w:jc w:val="center"/>
              <w:rPr>
                <w:rFonts w:asciiTheme="minorHAnsi" w:hAnsiTheme="minorHAnsi" w:cstheme="minorHAnsi"/>
                <w:b/>
                <w:color w:val="3A3838"/>
                <w:sz w:val="16"/>
                <w:szCs w:val="16"/>
                <w:lang w:eastAsia="es-MX"/>
              </w:rPr>
            </w:pPr>
            <w:r w:rsidRPr="002150BE">
              <w:rPr>
                <w:rFonts w:asciiTheme="minorHAnsi" w:hAnsiTheme="minorHAnsi" w:cstheme="minorHAnsi"/>
                <w:b/>
                <w:color w:val="3A3838"/>
                <w:sz w:val="13"/>
                <w:szCs w:val="15"/>
                <w:lang w:eastAsia="es-MX"/>
              </w:rPr>
              <w:t xml:space="preserve">Nivel </w:t>
            </w:r>
            <w:r w:rsidRPr="002150BE">
              <w:rPr>
                <w:rFonts w:asciiTheme="minorHAnsi" w:hAnsiTheme="minorHAnsi" w:cstheme="minorHAnsi"/>
                <w:b/>
                <w:color w:val="3A3838"/>
                <w:sz w:val="13"/>
                <w:szCs w:val="15"/>
                <w:shd w:val="clear" w:color="auto" w:fill="D6E3BC" w:themeFill="accent3" w:themeFillTint="66"/>
                <w:lang w:eastAsia="es-MX"/>
              </w:rPr>
              <w:t xml:space="preserve">de </w:t>
            </w:r>
            <w:r w:rsidRPr="002150BE">
              <w:rPr>
                <w:rFonts w:asciiTheme="minorHAnsi" w:hAnsiTheme="minorHAnsi" w:cstheme="minorHAnsi"/>
                <w:b/>
                <w:color w:val="3A3838"/>
                <w:sz w:val="13"/>
                <w:szCs w:val="15"/>
                <w:lang w:eastAsia="es-MX"/>
              </w:rPr>
              <w:t>objetivo</w:t>
            </w:r>
          </w:p>
        </w:tc>
        <w:tc>
          <w:tcPr>
            <w:tcW w:w="1134" w:type="dxa"/>
            <w:shd w:val="clear" w:color="auto" w:fill="D9D9D9" w:themeFill="background1" w:themeFillShade="D9"/>
            <w:vAlign w:val="center"/>
          </w:tcPr>
          <w:p w14:paraId="071932BA" w14:textId="77777777" w:rsidR="00C51640" w:rsidRPr="002150BE" w:rsidRDefault="00C51640" w:rsidP="00C51640">
            <w:pPr>
              <w:spacing w:after="0" w:line="240" w:lineRule="auto"/>
              <w:jc w:val="center"/>
              <w:rPr>
                <w:rFonts w:asciiTheme="minorHAnsi" w:hAnsiTheme="minorHAnsi" w:cstheme="minorHAnsi"/>
                <w:b/>
                <w:color w:val="000000"/>
                <w:sz w:val="16"/>
                <w:szCs w:val="16"/>
                <w:lang w:eastAsia="es-MX"/>
              </w:rPr>
            </w:pPr>
            <w:r w:rsidRPr="002150BE">
              <w:rPr>
                <w:rFonts w:asciiTheme="minorHAnsi" w:hAnsiTheme="minorHAnsi" w:cstheme="minorHAnsi"/>
                <w:b/>
                <w:color w:val="3A3838"/>
                <w:sz w:val="13"/>
                <w:szCs w:val="15"/>
                <w:lang w:eastAsia="es-MX"/>
              </w:rPr>
              <w:t>Nombre del indicador</w:t>
            </w:r>
          </w:p>
        </w:tc>
        <w:tc>
          <w:tcPr>
            <w:tcW w:w="1701" w:type="dxa"/>
            <w:gridSpan w:val="2"/>
            <w:shd w:val="clear" w:color="auto" w:fill="D9D9D9" w:themeFill="background1" w:themeFillShade="D9"/>
            <w:vAlign w:val="center"/>
          </w:tcPr>
          <w:p w14:paraId="6CBBB6AD" w14:textId="77777777" w:rsidR="00C51640" w:rsidRPr="002150BE" w:rsidRDefault="00C51640" w:rsidP="00C51640">
            <w:pPr>
              <w:spacing w:after="0" w:line="240" w:lineRule="auto"/>
              <w:jc w:val="center"/>
              <w:rPr>
                <w:rFonts w:asciiTheme="minorHAnsi" w:hAnsiTheme="minorHAnsi" w:cstheme="minorHAnsi"/>
                <w:b/>
                <w:color w:val="000000"/>
                <w:sz w:val="16"/>
                <w:szCs w:val="16"/>
                <w:lang w:eastAsia="es-MX"/>
              </w:rPr>
            </w:pPr>
            <w:r w:rsidRPr="002150BE">
              <w:rPr>
                <w:rFonts w:asciiTheme="minorHAnsi" w:hAnsiTheme="minorHAnsi" w:cstheme="minorHAnsi"/>
                <w:b/>
                <w:color w:val="3A3838"/>
                <w:sz w:val="13"/>
                <w:szCs w:val="15"/>
                <w:lang w:eastAsia="es-MX"/>
              </w:rPr>
              <w:t>Definición</w:t>
            </w:r>
          </w:p>
        </w:tc>
        <w:tc>
          <w:tcPr>
            <w:tcW w:w="905" w:type="dxa"/>
            <w:gridSpan w:val="2"/>
            <w:shd w:val="clear" w:color="auto" w:fill="D9D9D9" w:themeFill="background1" w:themeFillShade="D9"/>
            <w:vAlign w:val="center"/>
          </w:tcPr>
          <w:p w14:paraId="785BF205" w14:textId="77777777" w:rsidR="00C51640" w:rsidRPr="002150BE" w:rsidRDefault="00C51640" w:rsidP="00C51640">
            <w:pPr>
              <w:spacing w:after="0" w:line="240" w:lineRule="auto"/>
              <w:jc w:val="center"/>
              <w:rPr>
                <w:rFonts w:asciiTheme="minorHAnsi" w:hAnsiTheme="minorHAnsi" w:cstheme="minorHAnsi"/>
                <w:b/>
                <w:color w:val="000000"/>
                <w:sz w:val="16"/>
                <w:szCs w:val="16"/>
                <w:lang w:eastAsia="es-MX"/>
              </w:rPr>
            </w:pPr>
            <w:r w:rsidRPr="002150BE">
              <w:rPr>
                <w:rFonts w:asciiTheme="minorHAnsi" w:hAnsiTheme="minorHAnsi" w:cstheme="minorHAnsi"/>
                <w:b/>
                <w:color w:val="3A3838"/>
                <w:sz w:val="13"/>
                <w:szCs w:val="15"/>
                <w:lang w:eastAsia="es-MX"/>
              </w:rPr>
              <w:t>Método de cálculo</w:t>
            </w:r>
          </w:p>
        </w:tc>
        <w:tc>
          <w:tcPr>
            <w:tcW w:w="1153" w:type="dxa"/>
            <w:gridSpan w:val="4"/>
            <w:shd w:val="clear" w:color="auto" w:fill="D9D9D9" w:themeFill="background1" w:themeFillShade="D9"/>
            <w:vAlign w:val="center"/>
          </w:tcPr>
          <w:p w14:paraId="7A60AEA9" w14:textId="77777777" w:rsidR="00C51640" w:rsidRPr="002150BE" w:rsidRDefault="00C51640" w:rsidP="00C51640">
            <w:pPr>
              <w:spacing w:after="0" w:line="240" w:lineRule="auto"/>
              <w:jc w:val="center"/>
              <w:rPr>
                <w:rFonts w:asciiTheme="minorHAnsi" w:hAnsiTheme="minorHAnsi" w:cstheme="minorHAnsi"/>
                <w:b/>
                <w:color w:val="000000"/>
                <w:sz w:val="16"/>
                <w:szCs w:val="16"/>
                <w:lang w:eastAsia="es-MX"/>
              </w:rPr>
            </w:pPr>
            <w:r w:rsidRPr="002150BE">
              <w:rPr>
                <w:rFonts w:asciiTheme="minorHAnsi" w:hAnsiTheme="minorHAnsi" w:cstheme="minorHAnsi"/>
                <w:b/>
                <w:color w:val="3A3838"/>
                <w:sz w:val="13"/>
                <w:szCs w:val="15"/>
                <w:lang w:eastAsia="es-MX"/>
              </w:rPr>
              <w:t>Unidad de medida</w:t>
            </w:r>
          </w:p>
        </w:tc>
        <w:tc>
          <w:tcPr>
            <w:tcW w:w="1486" w:type="dxa"/>
            <w:gridSpan w:val="3"/>
            <w:shd w:val="clear" w:color="auto" w:fill="D9D9D9" w:themeFill="background1" w:themeFillShade="D9"/>
            <w:vAlign w:val="center"/>
          </w:tcPr>
          <w:p w14:paraId="6A198B8B" w14:textId="77777777" w:rsidR="00C51640" w:rsidRPr="002150BE" w:rsidRDefault="00C51640" w:rsidP="00C51640">
            <w:pPr>
              <w:spacing w:after="0" w:line="240" w:lineRule="auto"/>
              <w:jc w:val="center"/>
              <w:rPr>
                <w:rFonts w:asciiTheme="minorHAnsi" w:hAnsiTheme="minorHAnsi" w:cstheme="minorHAnsi"/>
                <w:b/>
                <w:color w:val="000000"/>
                <w:sz w:val="16"/>
                <w:szCs w:val="16"/>
                <w:lang w:eastAsia="es-MX"/>
              </w:rPr>
            </w:pPr>
            <w:r w:rsidRPr="002150BE">
              <w:rPr>
                <w:rFonts w:asciiTheme="minorHAnsi" w:hAnsiTheme="minorHAnsi" w:cstheme="minorHAnsi"/>
                <w:b/>
                <w:color w:val="3A3838"/>
                <w:sz w:val="13"/>
                <w:szCs w:val="15"/>
                <w:lang w:eastAsia="es-MX"/>
              </w:rPr>
              <w:t>Frecuencia de medición</w:t>
            </w:r>
          </w:p>
        </w:tc>
        <w:tc>
          <w:tcPr>
            <w:tcW w:w="818" w:type="dxa"/>
            <w:gridSpan w:val="2"/>
            <w:shd w:val="clear" w:color="auto" w:fill="D9D9D9" w:themeFill="background1" w:themeFillShade="D9"/>
            <w:vAlign w:val="center"/>
          </w:tcPr>
          <w:p w14:paraId="710B40F7" w14:textId="77777777" w:rsidR="00C51640" w:rsidRPr="002150BE" w:rsidRDefault="00C51640" w:rsidP="00C51640">
            <w:pPr>
              <w:spacing w:after="0" w:line="240" w:lineRule="auto"/>
              <w:jc w:val="center"/>
              <w:rPr>
                <w:rFonts w:asciiTheme="minorHAnsi" w:hAnsiTheme="minorHAnsi" w:cstheme="minorHAnsi"/>
                <w:b/>
                <w:color w:val="000000"/>
                <w:sz w:val="16"/>
                <w:szCs w:val="16"/>
                <w:lang w:eastAsia="es-MX"/>
              </w:rPr>
            </w:pPr>
            <w:r w:rsidRPr="002150BE">
              <w:rPr>
                <w:rFonts w:asciiTheme="minorHAnsi" w:hAnsiTheme="minorHAnsi" w:cstheme="minorHAnsi"/>
                <w:b/>
                <w:color w:val="3A3838"/>
                <w:sz w:val="13"/>
                <w:szCs w:val="15"/>
                <w:lang w:eastAsia="es-MX"/>
              </w:rPr>
              <w:t>Línea base</w:t>
            </w:r>
          </w:p>
        </w:tc>
        <w:tc>
          <w:tcPr>
            <w:tcW w:w="1153" w:type="dxa"/>
            <w:shd w:val="clear" w:color="auto" w:fill="D9D9D9" w:themeFill="background1" w:themeFillShade="D9"/>
            <w:vAlign w:val="center"/>
          </w:tcPr>
          <w:p w14:paraId="57C82C08" w14:textId="77777777" w:rsidR="00C51640" w:rsidRPr="002150BE" w:rsidRDefault="00C51640" w:rsidP="00C51640">
            <w:pPr>
              <w:spacing w:after="0" w:line="240" w:lineRule="auto"/>
              <w:jc w:val="center"/>
              <w:rPr>
                <w:rFonts w:asciiTheme="minorHAnsi" w:hAnsiTheme="minorHAnsi" w:cstheme="minorHAnsi"/>
                <w:b/>
                <w:color w:val="000000"/>
                <w:sz w:val="16"/>
                <w:szCs w:val="16"/>
                <w:lang w:eastAsia="es-MX"/>
              </w:rPr>
            </w:pPr>
            <w:r w:rsidRPr="002150BE">
              <w:rPr>
                <w:rFonts w:asciiTheme="minorHAnsi" w:hAnsiTheme="minorHAnsi" w:cstheme="minorHAnsi"/>
                <w:b/>
                <w:color w:val="3A3838"/>
                <w:sz w:val="13"/>
                <w:szCs w:val="15"/>
                <w:lang w:eastAsia="es-MX"/>
              </w:rPr>
              <w:t>Comportamiento del indicador</w:t>
            </w:r>
          </w:p>
        </w:tc>
      </w:tr>
      <w:tr w:rsidR="00C51640" w:rsidRPr="002150BE" w14:paraId="0EB4A098" w14:textId="77777777" w:rsidTr="00CE01DF">
        <w:trPr>
          <w:trHeight w:val="370"/>
        </w:trPr>
        <w:tc>
          <w:tcPr>
            <w:tcW w:w="529" w:type="dxa"/>
            <w:vMerge/>
            <w:shd w:val="clear" w:color="000000" w:fill="E9DECF"/>
            <w:noWrap/>
            <w:vAlign w:val="center"/>
          </w:tcPr>
          <w:p w14:paraId="0CCC6368" w14:textId="77777777" w:rsidR="00C51640" w:rsidRPr="002150BE" w:rsidRDefault="00C51640" w:rsidP="00C51640">
            <w:pPr>
              <w:spacing w:after="0" w:line="240" w:lineRule="auto"/>
              <w:rPr>
                <w:rFonts w:asciiTheme="minorHAnsi" w:hAnsiTheme="minorHAnsi" w:cstheme="minorHAnsi"/>
                <w:b/>
                <w:color w:val="3A3838"/>
                <w:sz w:val="18"/>
                <w:szCs w:val="18"/>
                <w:lang w:eastAsia="es-MX"/>
              </w:rPr>
            </w:pPr>
          </w:p>
        </w:tc>
        <w:tc>
          <w:tcPr>
            <w:tcW w:w="752" w:type="dxa"/>
            <w:shd w:val="clear" w:color="auto" w:fill="F2F2F2" w:themeFill="background1" w:themeFillShade="F2"/>
            <w:noWrap/>
            <w:vAlign w:val="center"/>
          </w:tcPr>
          <w:p w14:paraId="180E5697" w14:textId="77777777" w:rsidR="00C51640" w:rsidRPr="002150BE" w:rsidRDefault="00C51640" w:rsidP="00C51640">
            <w:pPr>
              <w:spacing w:after="0" w:line="240" w:lineRule="auto"/>
              <w:rPr>
                <w:rFonts w:asciiTheme="minorHAnsi" w:hAnsiTheme="minorHAnsi" w:cstheme="minorHAnsi"/>
                <w:color w:val="3A3838"/>
                <w:sz w:val="14"/>
                <w:szCs w:val="18"/>
                <w:lang w:eastAsia="es-MX"/>
              </w:rPr>
            </w:pPr>
            <w:r w:rsidRPr="002150BE">
              <w:rPr>
                <w:rFonts w:asciiTheme="minorHAnsi" w:hAnsiTheme="minorHAnsi" w:cstheme="minorHAnsi"/>
                <w:color w:val="3A3838"/>
                <w:sz w:val="14"/>
                <w:szCs w:val="16"/>
                <w:lang w:eastAsia="es-MX"/>
              </w:rPr>
              <w:t>Fin</w:t>
            </w:r>
          </w:p>
        </w:tc>
        <w:tc>
          <w:tcPr>
            <w:tcW w:w="1134" w:type="dxa"/>
            <w:vAlign w:val="center"/>
          </w:tcPr>
          <w:p w14:paraId="791C8F1B" w14:textId="4E09BFE5" w:rsidR="00C51640" w:rsidRPr="002150BE" w:rsidRDefault="00D866D2"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 xml:space="preserve">Tasa de variación de la esperanza </w:t>
            </w:r>
            <w:r w:rsidRPr="002150BE">
              <w:rPr>
                <w:rFonts w:asciiTheme="minorHAnsi" w:hAnsiTheme="minorHAnsi" w:cstheme="minorHAnsi"/>
                <w:color w:val="000000"/>
                <w:sz w:val="14"/>
                <w:szCs w:val="14"/>
                <w:lang w:eastAsia="es-MX"/>
              </w:rPr>
              <w:lastRenderedPageBreak/>
              <w:t>de escolaridad en Sinaloa</w:t>
            </w:r>
          </w:p>
        </w:tc>
        <w:tc>
          <w:tcPr>
            <w:tcW w:w="1701" w:type="dxa"/>
            <w:gridSpan w:val="2"/>
            <w:vAlign w:val="center"/>
          </w:tcPr>
          <w:p w14:paraId="57AAFE1C" w14:textId="558862F3" w:rsidR="00C51640" w:rsidRPr="002150BE" w:rsidRDefault="00D866D2"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lastRenderedPageBreak/>
              <w:t xml:space="preserve">Cambio porcentual anual de la esperanza de </w:t>
            </w:r>
            <w:r w:rsidRPr="002150BE">
              <w:rPr>
                <w:rFonts w:asciiTheme="minorHAnsi" w:hAnsiTheme="minorHAnsi" w:cstheme="minorHAnsi"/>
                <w:color w:val="000000"/>
                <w:sz w:val="14"/>
                <w:szCs w:val="14"/>
                <w:lang w:eastAsia="es-MX"/>
              </w:rPr>
              <w:lastRenderedPageBreak/>
              <w:t>escolaridad de la población del estado de Sinaloa.</w:t>
            </w:r>
          </w:p>
        </w:tc>
        <w:tc>
          <w:tcPr>
            <w:tcW w:w="905" w:type="dxa"/>
            <w:gridSpan w:val="2"/>
            <w:vAlign w:val="center"/>
          </w:tcPr>
          <w:p w14:paraId="55E36963" w14:textId="5F1D9F7E" w:rsidR="00C51640" w:rsidRPr="002150BE" w:rsidRDefault="00D866D2"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lastRenderedPageBreak/>
              <w:t xml:space="preserve">(Esperanza de </w:t>
            </w:r>
            <w:r w:rsidRPr="002150BE">
              <w:rPr>
                <w:rFonts w:asciiTheme="minorHAnsi" w:hAnsiTheme="minorHAnsi" w:cstheme="minorHAnsi"/>
                <w:color w:val="000000"/>
                <w:sz w:val="14"/>
                <w:szCs w:val="14"/>
                <w:lang w:eastAsia="es-MX"/>
              </w:rPr>
              <w:lastRenderedPageBreak/>
              <w:t>escolaridad ciclo t – Esperanza de escolaridad ciclo t-1) / Esperanza de escolaridad ciclo t-1 * 100.</w:t>
            </w:r>
          </w:p>
        </w:tc>
        <w:tc>
          <w:tcPr>
            <w:tcW w:w="1153" w:type="dxa"/>
            <w:gridSpan w:val="4"/>
            <w:vAlign w:val="center"/>
          </w:tcPr>
          <w:p w14:paraId="104EE66A" w14:textId="365210E3" w:rsidR="00C51640" w:rsidRPr="002150BE" w:rsidRDefault="00D866D2"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lastRenderedPageBreak/>
              <w:t>Porcentaje (%).</w:t>
            </w:r>
          </w:p>
        </w:tc>
        <w:tc>
          <w:tcPr>
            <w:tcW w:w="1486" w:type="dxa"/>
            <w:gridSpan w:val="3"/>
            <w:vAlign w:val="center"/>
          </w:tcPr>
          <w:p w14:paraId="3DEA361E" w14:textId="1410B5F4" w:rsidR="00C51640" w:rsidRPr="002150BE" w:rsidRDefault="00D866D2"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Anual</w:t>
            </w:r>
          </w:p>
        </w:tc>
        <w:tc>
          <w:tcPr>
            <w:tcW w:w="818" w:type="dxa"/>
            <w:gridSpan w:val="2"/>
            <w:vAlign w:val="center"/>
          </w:tcPr>
          <w:p w14:paraId="5D2AECEC" w14:textId="379C8915" w:rsidR="00C51640" w:rsidRPr="002150BE" w:rsidRDefault="00D866D2"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Valor 2023.</w:t>
            </w:r>
          </w:p>
        </w:tc>
        <w:tc>
          <w:tcPr>
            <w:tcW w:w="1153" w:type="dxa"/>
            <w:vAlign w:val="center"/>
          </w:tcPr>
          <w:p w14:paraId="52CFF346" w14:textId="082F7A84" w:rsidR="00C51640" w:rsidRPr="002150BE" w:rsidRDefault="00D866D2"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Ascendente</w:t>
            </w:r>
          </w:p>
        </w:tc>
      </w:tr>
      <w:tr w:rsidR="00D866D2" w:rsidRPr="002150BE" w14:paraId="5A570CCA" w14:textId="77777777" w:rsidTr="00CE01DF">
        <w:trPr>
          <w:trHeight w:val="370"/>
        </w:trPr>
        <w:tc>
          <w:tcPr>
            <w:tcW w:w="529" w:type="dxa"/>
            <w:vMerge/>
            <w:shd w:val="clear" w:color="000000" w:fill="E9DECF"/>
            <w:noWrap/>
            <w:vAlign w:val="center"/>
          </w:tcPr>
          <w:p w14:paraId="4281AABB" w14:textId="77777777" w:rsidR="00D866D2" w:rsidRPr="002150BE" w:rsidRDefault="00D866D2" w:rsidP="00D866D2">
            <w:pPr>
              <w:spacing w:after="0" w:line="240" w:lineRule="auto"/>
              <w:rPr>
                <w:rFonts w:asciiTheme="minorHAnsi" w:hAnsiTheme="minorHAnsi" w:cstheme="minorHAnsi"/>
                <w:b/>
                <w:color w:val="3A3838"/>
                <w:sz w:val="18"/>
                <w:szCs w:val="18"/>
                <w:lang w:eastAsia="es-MX"/>
              </w:rPr>
            </w:pPr>
          </w:p>
        </w:tc>
        <w:tc>
          <w:tcPr>
            <w:tcW w:w="752" w:type="dxa"/>
            <w:shd w:val="clear" w:color="auto" w:fill="F2F2F2" w:themeFill="background1" w:themeFillShade="F2"/>
            <w:noWrap/>
            <w:vAlign w:val="center"/>
          </w:tcPr>
          <w:p w14:paraId="037F94AA" w14:textId="77777777" w:rsidR="00D866D2" w:rsidRPr="002150BE" w:rsidRDefault="00D866D2" w:rsidP="00D866D2">
            <w:pPr>
              <w:spacing w:after="0" w:line="240" w:lineRule="auto"/>
              <w:rPr>
                <w:rFonts w:asciiTheme="minorHAnsi" w:hAnsiTheme="minorHAnsi" w:cstheme="minorHAnsi"/>
                <w:color w:val="3A3838"/>
                <w:sz w:val="14"/>
                <w:szCs w:val="18"/>
                <w:lang w:eastAsia="es-MX"/>
              </w:rPr>
            </w:pPr>
            <w:r w:rsidRPr="002150BE">
              <w:rPr>
                <w:rFonts w:asciiTheme="minorHAnsi" w:hAnsiTheme="minorHAnsi" w:cstheme="minorHAnsi"/>
                <w:color w:val="3A3838"/>
                <w:sz w:val="14"/>
                <w:szCs w:val="16"/>
                <w:lang w:eastAsia="es-MX"/>
              </w:rPr>
              <w:t>Propósito</w:t>
            </w:r>
          </w:p>
        </w:tc>
        <w:tc>
          <w:tcPr>
            <w:tcW w:w="1134" w:type="dxa"/>
            <w:vAlign w:val="center"/>
          </w:tcPr>
          <w:p w14:paraId="5076F13C" w14:textId="672764ED" w:rsidR="00D866D2" w:rsidRPr="002150BE" w:rsidRDefault="00D866D2"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Porcentaje de matrícula de educación superior que logra la UTC</w:t>
            </w:r>
          </w:p>
        </w:tc>
        <w:tc>
          <w:tcPr>
            <w:tcW w:w="1701" w:type="dxa"/>
            <w:gridSpan w:val="2"/>
            <w:vAlign w:val="center"/>
          </w:tcPr>
          <w:p w14:paraId="7E115C77" w14:textId="47141F71" w:rsidR="00D866D2" w:rsidRPr="002150BE" w:rsidRDefault="00D866D2"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Proporción de la matrícula de la UTC respecto al total de matrícula de educación superior en Sinaloa.</w:t>
            </w:r>
          </w:p>
        </w:tc>
        <w:tc>
          <w:tcPr>
            <w:tcW w:w="905" w:type="dxa"/>
            <w:gridSpan w:val="2"/>
            <w:vAlign w:val="center"/>
          </w:tcPr>
          <w:p w14:paraId="7B1540FB" w14:textId="1A440C95" w:rsidR="00D866D2" w:rsidRPr="002150BE" w:rsidRDefault="00D866D2"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(Matrícula de la UTC / Matrícula total de educación superior en Sinaloa) * 100.</w:t>
            </w:r>
          </w:p>
        </w:tc>
        <w:tc>
          <w:tcPr>
            <w:tcW w:w="1153" w:type="dxa"/>
            <w:gridSpan w:val="4"/>
            <w:vAlign w:val="center"/>
          </w:tcPr>
          <w:p w14:paraId="796AD1D8" w14:textId="48C0FAF1" w:rsidR="00D866D2" w:rsidRPr="002150BE" w:rsidRDefault="00D866D2"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Porcentaje (%).</w:t>
            </w:r>
          </w:p>
        </w:tc>
        <w:tc>
          <w:tcPr>
            <w:tcW w:w="1486" w:type="dxa"/>
            <w:gridSpan w:val="3"/>
            <w:vAlign w:val="center"/>
          </w:tcPr>
          <w:p w14:paraId="120144A2" w14:textId="740B464E" w:rsidR="00D866D2" w:rsidRPr="002150BE" w:rsidRDefault="00D866D2" w:rsidP="00CE01DF">
            <w:pPr>
              <w:spacing w:after="0" w:line="240" w:lineRule="auto"/>
              <w:jc w:val="center"/>
              <w:rPr>
                <w:rFonts w:asciiTheme="minorHAnsi" w:hAnsiTheme="minorHAnsi" w:cstheme="minorHAnsi"/>
                <w:color w:val="000000"/>
                <w:sz w:val="14"/>
                <w:szCs w:val="14"/>
                <w:lang w:val="pt-PT" w:eastAsia="es-MX"/>
              </w:rPr>
            </w:pPr>
            <w:r w:rsidRPr="002150BE">
              <w:rPr>
                <w:rFonts w:asciiTheme="minorHAnsi" w:hAnsiTheme="minorHAnsi" w:cstheme="minorHAnsi"/>
                <w:color w:val="000000"/>
                <w:sz w:val="14"/>
                <w:szCs w:val="14"/>
                <w:lang w:val="pt-PT" w:eastAsia="es-MX"/>
              </w:rPr>
              <w:t>Anual (con corte por ciclo escolar).</w:t>
            </w:r>
          </w:p>
        </w:tc>
        <w:tc>
          <w:tcPr>
            <w:tcW w:w="818" w:type="dxa"/>
            <w:gridSpan w:val="2"/>
            <w:vAlign w:val="center"/>
          </w:tcPr>
          <w:p w14:paraId="55B2A363" w14:textId="1E1C52A4" w:rsidR="00D866D2" w:rsidRPr="002150BE" w:rsidRDefault="00D866D2"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Porcentaje 2023.</w:t>
            </w:r>
          </w:p>
        </w:tc>
        <w:tc>
          <w:tcPr>
            <w:tcW w:w="1153" w:type="dxa"/>
            <w:vAlign w:val="center"/>
          </w:tcPr>
          <w:p w14:paraId="4132F112" w14:textId="3DA89F6B" w:rsidR="00D866D2" w:rsidRPr="002150BE" w:rsidRDefault="00D866D2"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Ascendente</w:t>
            </w:r>
          </w:p>
        </w:tc>
      </w:tr>
      <w:tr w:rsidR="00755BC5" w:rsidRPr="002150BE" w14:paraId="7D060A62" w14:textId="77777777" w:rsidTr="00CE01DF">
        <w:trPr>
          <w:trHeight w:val="323"/>
        </w:trPr>
        <w:tc>
          <w:tcPr>
            <w:tcW w:w="529" w:type="dxa"/>
            <w:vMerge/>
            <w:shd w:val="clear" w:color="000000" w:fill="E9DECF"/>
            <w:noWrap/>
            <w:vAlign w:val="center"/>
          </w:tcPr>
          <w:p w14:paraId="589285A3" w14:textId="77777777" w:rsidR="00755BC5" w:rsidRPr="002150BE" w:rsidRDefault="00755BC5" w:rsidP="00755BC5">
            <w:pPr>
              <w:spacing w:after="0" w:line="240" w:lineRule="auto"/>
              <w:rPr>
                <w:rFonts w:asciiTheme="minorHAnsi" w:hAnsiTheme="minorHAnsi" w:cstheme="minorHAnsi"/>
                <w:b/>
                <w:color w:val="3A3838"/>
                <w:sz w:val="18"/>
                <w:szCs w:val="18"/>
                <w:lang w:eastAsia="es-MX"/>
              </w:rPr>
            </w:pPr>
          </w:p>
        </w:tc>
        <w:tc>
          <w:tcPr>
            <w:tcW w:w="752" w:type="dxa"/>
            <w:shd w:val="clear" w:color="auto" w:fill="F2F2F2" w:themeFill="background1" w:themeFillShade="F2"/>
            <w:noWrap/>
            <w:vAlign w:val="center"/>
          </w:tcPr>
          <w:p w14:paraId="081D9968" w14:textId="7602D3E1" w:rsidR="00755BC5" w:rsidRPr="002150BE" w:rsidRDefault="00755BC5" w:rsidP="00755BC5">
            <w:pPr>
              <w:spacing w:after="0" w:line="240" w:lineRule="auto"/>
              <w:rPr>
                <w:rFonts w:asciiTheme="minorHAnsi" w:hAnsiTheme="minorHAnsi" w:cstheme="minorHAnsi"/>
                <w:color w:val="3A3838"/>
                <w:sz w:val="14"/>
                <w:szCs w:val="18"/>
                <w:lang w:eastAsia="es-MX"/>
              </w:rPr>
            </w:pPr>
            <w:r w:rsidRPr="002150BE">
              <w:rPr>
                <w:rFonts w:asciiTheme="minorHAnsi" w:hAnsiTheme="minorHAnsi" w:cstheme="minorHAnsi"/>
                <w:color w:val="3A3838"/>
                <w:sz w:val="14"/>
                <w:szCs w:val="16"/>
                <w:lang w:eastAsia="es-MX"/>
              </w:rPr>
              <w:t>Componente 1</w:t>
            </w:r>
          </w:p>
        </w:tc>
        <w:tc>
          <w:tcPr>
            <w:tcW w:w="1134" w:type="dxa"/>
            <w:vAlign w:val="center"/>
          </w:tcPr>
          <w:p w14:paraId="7292E06D" w14:textId="4CC7CFFD"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Porcentaje de programas educativos acreditados.</w:t>
            </w:r>
          </w:p>
        </w:tc>
        <w:tc>
          <w:tcPr>
            <w:tcW w:w="1701" w:type="dxa"/>
            <w:gridSpan w:val="2"/>
            <w:vAlign w:val="center"/>
          </w:tcPr>
          <w:p w14:paraId="07B8B7E7" w14:textId="44A4C4AD"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Programas educativos acorde con las necesidades y vocación productiva local ofrecidos</w:t>
            </w:r>
          </w:p>
        </w:tc>
        <w:tc>
          <w:tcPr>
            <w:tcW w:w="905" w:type="dxa"/>
            <w:gridSpan w:val="2"/>
            <w:vAlign w:val="center"/>
          </w:tcPr>
          <w:p w14:paraId="5473C799" w14:textId="77777777" w:rsidR="00755BC5" w:rsidRPr="002150BE" w:rsidRDefault="00755BC5" w:rsidP="00CE01DF">
            <w:pPr>
              <w:spacing w:after="0" w:line="240" w:lineRule="auto"/>
              <w:jc w:val="center"/>
              <w:rPr>
                <w:rFonts w:asciiTheme="minorHAnsi" w:hAnsiTheme="minorHAnsi" w:cstheme="minorHAnsi"/>
                <w:color w:val="000000"/>
                <w:sz w:val="14"/>
                <w:szCs w:val="14"/>
                <w:lang w:eastAsia="es-MX"/>
              </w:rPr>
            </w:pPr>
          </w:p>
        </w:tc>
        <w:tc>
          <w:tcPr>
            <w:tcW w:w="1153" w:type="dxa"/>
            <w:gridSpan w:val="4"/>
            <w:vAlign w:val="center"/>
          </w:tcPr>
          <w:p w14:paraId="78BD18A3" w14:textId="7DBDD6CB"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Porcentaje (%)</w:t>
            </w:r>
          </w:p>
        </w:tc>
        <w:tc>
          <w:tcPr>
            <w:tcW w:w="1486" w:type="dxa"/>
            <w:gridSpan w:val="3"/>
            <w:vAlign w:val="center"/>
          </w:tcPr>
          <w:p w14:paraId="0967202D" w14:textId="5DCCCBAB"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Trimestral y consolidación anual.</w:t>
            </w:r>
          </w:p>
        </w:tc>
        <w:tc>
          <w:tcPr>
            <w:tcW w:w="818" w:type="dxa"/>
            <w:gridSpan w:val="2"/>
            <w:vAlign w:val="center"/>
          </w:tcPr>
          <w:p w14:paraId="544A14AB" w14:textId="6493E488"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Valor 2023.</w:t>
            </w:r>
          </w:p>
        </w:tc>
        <w:tc>
          <w:tcPr>
            <w:tcW w:w="1153" w:type="dxa"/>
            <w:vAlign w:val="center"/>
          </w:tcPr>
          <w:p w14:paraId="3907D869" w14:textId="438B7DFC"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Ascendente</w:t>
            </w:r>
          </w:p>
        </w:tc>
      </w:tr>
      <w:tr w:rsidR="00755BC5" w:rsidRPr="002150BE" w14:paraId="7B4E201A" w14:textId="77777777" w:rsidTr="00CE01DF">
        <w:trPr>
          <w:trHeight w:val="323"/>
        </w:trPr>
        <w:tc>
          <w:tcPr>
            <w:tcW w:w="529" w:type="dxa"/>
            <w:vMerge/>
            <w:shd w:val="clear" w:color="000000" w:fill="E9DECF"/>
            <w:noWrap/>
            <w:vAlign w:val="center"/>
          </w:tcPr>
          <w:p w14:paraId="60B86B77" w14:textId="77777777" w:rsidR="00755BC5" w:rsidRPr="002150BE" w:rsidRDefault="00755BC5" w:rsidP="00755BC5">
            <w:pPr>
              <w:spacing w:after="0" w:line="240" w:lineRule="auto"/>
              <w:rPr>
                <w:rFonts w:asciiTheme="minorHAnsi" w:hAnsiTheme="minorHAnsi" w:cstheme="minorHAnsi"/>
                <w:b/>
                <w:color w:val="3A3838"/>
                <w:sz w:val="18"/>
                <w:szCs w:val="18"/>
                <w:lang w:eastAsia="es-MX"/>
              </w:rPr>
            </w:pPr>
          </w:p>
        </w:tc>
        <w:tc>
          <w:tcPr>
            <w:tcW w:w="752" w:type="dxa"/>
            <w:shd w:val="clear" w:color="auto" w:fill="F2F2F2" w:themeFill="background1" w:themeFillShade="F2"/>
            <w:noWrap/>
            <w:vAlign w:val="center"/>
          </w:tcPr>
          <w:p w14:paraId="1DFF95B7" w14:textId="5255BA59" w:rsidR="00755BC5" w:rsidRPr="002150BE" w:rsidRDefault="00755BC5" w:rsidP="00755BC5">
            <w:pPr>
              <w:spacing w:after="0" w:line="240" w:lineRule="auto"/>
              <w:rPr>
                <w:rFonts w:asciiTheme="minorHAnsi" w:hAnsiTheme="minorHAnsi" w:cstheme="minorHAnsi"/>
                <w:color w:val="3A3838"/>
                <w:sz w:val="14"/>
                <w:szCs w:val="16"/>
                <w:lang w:eastAsia="es-MX"/>
              </w:rPr>
            </w:pPr>
            <w:r w:rsidRPr="002150BE">
              <w:rPr>
                <w:rFonts w:asciiTheme="minorHAnsi" w:hAnsiTheme="minorHAnsi" w:cstheme="minorHAnsi"/>
                <w:color w:val="3A3838"/>
                <w:sz w:val="14"/>
                <w:szCs w:val="16"/>
                <w:lang w:eastAsia="es-MX"/>
              </w:rPr>
              <w:t>Componente 2</w:t>
            </w:r>
          </w:p>
        </w:tc>
        <w:tc>
          <w:tcPr>
            <w:tcW w:w="1134" w:type="dxa"/>
            <w:vAlign w:val="center"/>
          </w:tcPr>
          <w:p w14:paraId="711F4D04" w14:textId="08E31DE4"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 docentes SNI</w:t>
            </w:r>
          </w:p>
        </w:tc>
        <w:tc>
          <w:tcPr>
            <w:tcW w:w="1701" w:type="dxa"/>
            <w:gridSpan w:val="2"/>
            <w:vAlign w:val="center"/>
          </w:tcPr>
          <w:p w14:paraId="58DA93DA" w14:textId="266FE490"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Docentes profesionales, capaces y aptos</w:t>
            </w:r>
          </w:p>
        </w:tc>
        <w:tc>
          <w:tcPr>
            <w:tcW w:w="905" w:type="dxa"/>
            <w:gridSpan w:val="2"/>
            <w:vAlign w:val="center"/>
          </w:tcPr>
          <w:p w14:paraId="546706B5" w14:textId="77777777" w:rsidR="00755BC5" w:rsidRPr="002150BE" w:rsidRDefault="00755BC5" w:rsidP="00CE01DF">
            <w:pPr>
              <w:spacing w:after="0" w:line="240" w:lineRule="auto"/>
              <w:jc w:val="center"/>
              <w:rPr>
                <w:rFonts w:asciiTheme="minorHAnsi" w:hAnsiTheme="minorHAnsi" w:cstheme="minorHAnsi"/>
                <w:color w:val="000000"/>
                <w:sz w:val="14"/>
                <w:szCs w:val="14"/>
                <w:lang w:eastAsia="es-MX"/>
              </w:rPr>
            </w:pPr>
          </w:p>
        </w:tc>
        <w:tc>
          <w:tcPr>
            <w:tcW w:w="1153" w:type="dxa"/>
            <w:gridSpan w:val="4"/>
            <w:vAlign w:val="center"/>
          </w:tcPr>
          <w:p w14:paraId="0F7938E8" w14:textId="1F473CF4"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Porcentaje (%)</w:t>
            </w:r>
          </w:p>
        </w:tc>
        <w:tc>
          <w:tcPr>
            <w:tcW w:w="1486" w:type="dxa"/>
            <w:gridSpan w:val="3"/>
            <w:vAlign w:val="center"/>
          </w:tcPr>
          <w:p w14:paraId="3888C604" w14:textId="73A33B4D"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Trimestral y consolidación anual.</w:t>
            </w:r>
          </w:p>
        </w:tc>
        <w:tc>
          <w:tcPr>
            <w:tcW w:w="818" w:type="dxa"/>
            <w:gridSpan w:val="2"/>
            <w:vAlign w:val="center"/>
          </w:tcPr>
          <w:p w14:paraId="722167F5" w14:textId="18B31B9C"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Porcentaje 2023.</w:t>
            </w:r>
          </w:p>
        </w:tc>
        <w:tc>
          <w:tcPr>
            <w:tcW w:w="1153" w:type="dxa"/>
            <w:vAlign w:val="center"/>
          </w:tcPr>
          <w:p w14:paraId="069E2069" w14:textId="2AAFC536"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Ascendente</w:t>
            </w:r>
          </w:p>
        </w:tc>
      </w:tr>
      <w:tr w:rsidR="00755BC5" w:rsidRPr="002150BE" w14:paraId="296BD83D" w14:textId="77777777" w:rsidTr="00CE01DF">
        <w:trPr>
          <w:trHeight w:val="323"/>
        </w:trPr>
        <w:tc>
          <w:tcPr>
            <w:tcW w:w="529" w:type="dxa"/>
            <w:vMerge/>
            <w:shd w:val="clear" w:color="000000" w:fill="E9DECF"/>
            <w:noWrap/>
            <w:vAlign w:val="center"/>
          </w:tcPr>
          <w:p w14:paraId="68E52977" w14:textId="77777777" w:rsidR="00755BC5" w:rsidRPr="002150BE" w:rsidRDefault="00755BC5" w:rsidP="00755BC5">
            <w:pPr>
              <w:spacing w:after="0" w:line="240" w:lineRule="auto"/>
              <w:rPr>
                <w:rFonts w:asciiTheme="minorHAnsi" w:hAnsiTheme="minorHAnsi" w:cstheme="minorHAnsi"/>
                <w:b/>
                <w:color w:val="3A3838"/>
                <w:sz w:val="18"/>
                <w:szCs w:val="18"/>
                <w:lang w:eastAsia="es-MX"/>
              </w:rPr>
            </w:pPr>
          </w:p>
        </w:tc>
        <w:tc>
          <w:tcPr>
            <w:tcW w:w="752" w:type="dxa"/>
            <w:shd w:val="clear" w:color="auto" w:fill="F2F2F2" w:themeFill="background1" w:themeFillShade="F2"/>
            <w:noWrap/>
            <w:vAlign w:val="center"/>
          </w:tcPr>
          <w:p w14:paraId="3A7497F7" w14:textId="0CC92E8E" w:rsidR="00755BC5" w:rsidRPr="002150BE" w:rsidRDefault="00755BC5" w:rsidP="00755BC5">
            <w:pPr>
              <w:spacing w:after="0" w:line="240" w:lineRule="auto"/>
              <w:rPr>
                <w:rFonts w:asciiTheme="minorHAnsi" w:hAnsiTheme="minorHAnsi" w:cstheme="minorHAnsi"/>
                <w:color w:val="3A3838"/>
                <w:sz w:val="14"/>
                <w:szCs w:val="16"/>
                <w:lang w:eastAsia="es-MX"/>
              </w:rPr>
            </w:pPr>
            <w:r w:rsidRPr="002150BE">
              <w:rPr>
                <w:rFonts w:asciiTheme="minorHAnsi" w:hAnsiTheme="minorHAnsi" w:cstheme="minorHAnsi"/>
                <w:color w:val="3A3838"/>
                <w:sz w:val="14"/>
                <w:szCs w:val="16"/>
                <w:lang w:eastAsia="es-MX"/>
              </w:rPr>
              <w:t>Componente 3</w:t>
            </w:r>
          </w:p>
        </w:tc>
        <w:tc>
          <w:tcPr>
            <w:tcW w:w="1134" w:type="dxa"/>
            <w:vAlign w:val="center"/>
          </w:tcPr>
          <w:p w14:paraId="25F6C17D" w14:textId="7D1F7E1C"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Alumnos promedio por salón.</w:t>
            </w:r>
          </w:p>
        </w:tc>
        <w:tc>
          <w:tcPr>
            <w:tcW w:w="1701" w:type="dxa"/>
            <w:gridSpan w:val="2"/>
            <w:vAlign w:val="center"/>
          </w:tcPr>
          <w:p w14:paraId="06699B53" w14:textId="3888F511"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Adecuada y suficiente infraestructura y equipamiento académico y administrativo</w:t>
            </w:r>
          </w:p>
        </w:tc>
        <w:tc>
          <w:tcPr>
            <w:tcW w:w="905" w:type="dxa"/>
            <w:gridSpan w:val="2"/>
            <w:vAlign w:val="center"/>
          </w:tcPr>
          <w:p w14:paraId="1C787A80" w14:textId="77777777" w:rsidR="00755BC5" w:rsidRPr="002150BE" w:rsidRDefault="00755BC5" w:rsidP="00CE01DF">
            <w:pPr>
              <w:spacing w:after="0" w:line="240" w:lineRule="auto"/>
              <w:jc w:val="center"/>
              <w:rPr>
                <w:rFonts w:asciiTheme="minorHAnsi" w:hAnsiTheme="minorHAnsi" w:cstheme="minorHAnsi"/>
                <w:color w:val="000000"/>
                <w:sz w:val="14"/>
                <w:szCs w:val="14"/>
                <w:lang w:eastAsia="es-MX"/>
              </w:rPr>
            </w:pPr>
          </w:p>
        </w:tc>
        <w:tc>
          <w:tcPr>
            <w:tcW w:w="1153" w:type="dxa"/>
            <w:gridSpan w:val="4"/>
            <w:vAlign w:val="center"/>
          </w:tcPr>
          <w:p w14:paraId="55002E94" w14:textId="794196C7"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(alumnos/salón)</w:t>
            </w:r>
          </w:p>
        </w:tc>
        <w:tc>
          <w:tcPr>
            <w:tcW w:w="1486" w:type="dxa"/>
            <w:gridSpan w:val="3"/>
            <w:vAlign w:val="center"/>
          </w:tcPr>
          <w:p w14:paraId="0307D8CF" w14:textId="597A73E3"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Trimestral y consolidación anual.</w:t>
            </w:r>
          </w:p>
        </w:tc>
        <w:tc>
          <w:tcPr>
            <w:tcW w:w="818" w:type="dxa"/>
            <w:gridSpan w:val="2"/>
            <w:vAlign w:val="center"/>
          </w:tcPr>
          <w:p w14:paraId="5F152609" w14:textId="400E75E4"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Valor 2023.</w:t>
            </w:r>
          </w:p>
        </w:tc>
        <w:tc>
          <w:tcPr>
            <w:tcW w:w="1153" w:type="dxa"/>
            <w:vAlign w:val="center"/>
          </w:tcPr>
          <w:p w14:paraId="496100E3" w14:textId="08EE88C4"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Ascendente</w:t>
            </w:r>
          </w:p>
        </w:tc>
      </w:tr>
      <w:tr w:rsidR="00755BC5" w:rsidRPr="002150BE" w14:paraId="597CC8E5" w14:textId="77777777" w:rsidTr="00CE01DF">
        <w:trPr>
          <w:trHeight w:val="323"/>
        </w:trPr>
        <w:tc>
          <w:tcPr>
            <w:tcW w:w="529" w:type="dxa"/>
            <w:vMerge/>
            <w:shd w:val="clear" w:color="000000" w:fill="E9DECF"/>
            <w:noWrap/>
            <w:vAlign w:val="center"/>
          </w:tcPr>
          <w:p w14:paraId="10E26231" w14:textId="77777777" w:rsidR="00755BC5" w:rsidRPr="002150BE" w:rsidRDefault="00755BC5" w:rsidP="00755BC5">
            <w:pPr>
              <w:spacing w:after="0" w:line="240" w:lineRule="auto"/>
              <w:rPr>
                <w:rFonts w:asciiTheme="minorHAnsi" w:hAnsiTheme="minorHAnsi" w:cstheme="minorHAnsi"/>
                <w:b/>
                <w:color w:val="3A3838"/>
                <w:sz w:val="18"/>
                <w:szCs w:val="18"/>
                <w:lang w:eastAsia="es-MX"/>
              </w:rPr>
            </w:pPr>
          </w:p>
        </w:tc>
        <w:tc>
          <w:tcPr>
            <w:tcW w:w="752" w:type="dxa"/>
            <w:shd w:val="clear" w:color="auto" w:fill="F2F2F2" w:themeFill="background1" w:themeFillShade="F2"/>
            <w:noWrap/>
            <w:vAlign w:val="center"/>
          </w:tcPr>
          <w:p w14:paraId="57DDA846" w14:textId="65CDD663" w:rsidR="00755BC5" w:rsidRPr="002150BE" w:rsidRDefault="00755BC5" w:rsidP="00755BC5">
            <w:pPr>
              <w:spacing w:after="0" w:line="240" w:lineRule="auto"/>
              <w:rPr>
                <w:rFonts w:asciiTheme="minorHAnsi" w:hAnsiTheme="minorHAnsi" w:cstheme="minorHAnsi"/>
                <w:color w:val="3A3838"/>
                <w:sz w:val="14"/>
                <w:szCs w:val="16"/>
                <w:lang w:eastAsia="es-MX"/>
              </w:rPr>
            </w:pPr>
            <w:r w:rsidRPr="002150BE">
              <w:rPr>
                <w:rFonts w:asciiTheme="minorHAnsi" w:hAnsiTheme="minorHAnsi" w:cstheme="minorHAnsi"/>
                <w:color w:val="3A3838"/>
                <w:sz w:val="14"/>
                <w:szCs w:val="16"/>
                <w:lang w:eastAsia="es-MX"/>
              </w:rPr>
              <w:t>Componente 4</w:t>
            </w:r>
          </w:p>
        </w:tc>
        <w:tc>
          <w:tcPr>
            <w:tcW w:w="1134" w:type="dxa"/>
            <w:vAlign w:val="center"/>
          </w:tcPr>
          <w:p w14:paraId="6D8D614A" w14:textId="54F45EBE"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 formatos de transparencia publicados</w:t>
            </w:r>
          </w:p>
        </w:tc>
        <w:tc>
          <w:tcPr>
            <w:tcW w:w="1701" w:type="dxa"/>
            <w:gridSpan w:val="2"/>
            <w:vAlign w:val="center"/>
          </w:tcPr>
          <w:p w14:paraId="63DA483F" w14:textId="17AB2448"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Funciones administrativas fortalecidas</w:t>
            </w:r>
          </w:p>
        </w:tc>
        <w:tc>
          <w:tcPr>
            <w:tcW w:w="905" w:type="dxa"/>
            <w:gridSpan w:val="2"/>
            <w:vAlign w:val="center"/>
          </w:tcPr>
          <w:p w14:paraId="4812762C" w14:textId="77777777" w:rsidR="00755BC5" w:rsidRPr="002150BE" w:rsidRDefault="00755BC5" w:rsidP="00CE01DF">
            <w:pPr>
              <w:spacing w:after="0" w:line="240" w:lineRule="auto"/>
              <w:jc w:val="center"/>
              <w:rPr>
                <w:rFonts w:asciiTheme="minorHAnsi" w:hAnsiTheme="minorHAnsi" w:cstheme="minorHAnsi"/>
                <w:color w:val="000000"/>
                <w:sz w:val="14"/>
                <w:szCs w:val="14"/>
                <w:lang w:eastAsia="es-MX"/>
              </w:rPr>
            </w:pPr>
          </w:p>
        </w:tc>
        <w:tc>
          <w:tcPr>
            <w:tcW w:w="1153" w:type="dxa"/>
            <w:gridSpan w:val="4"/>
            <w:vAlign w:val="center"/>
          </w:tcPr>
          <w:p w14:paraId="074C554C" w14:textId="7FC4FF17"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Porcentaje (%)</w:t>
            </w:r>
          </w:p>
        </w:tc>
        <w:tc>
          <w:tcPr>
            <w:tcW w:w="1486" w:type="dxa"/>
            <w:gridSpan w:val="3"/>
            <w:vAlign w:val="center"/>
          </w:tcPr>
          <w:p w14:paraId="1670F9E3" w14:textId="49BC9E56"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Trimestral y consolidación anual.</w:t>
            </w:r>
          </w:p>
        </w:tc>
        <w:tc>
          <w:tcPr>
            <w:tcW w:w="818" w:type="dxa"/>
            <w:gridSpan w:val="2"/>
            <w:vAlign w:val="center"/>
          </w:tcPr>
          <w:p w14:paraId="072F3290" w14:textId="05CD8EE3"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Porcentaje 2023.</w:t>
            </w:r>
          </w:p>
        </w:tc>
        <w:tc>
          <w:tcPr>
            <w:tcW w:w="1153" w:type="dxa"/>
            <w:vAlign w:val="center"/>
          </w:tcPr>
          <w:p w14:paraId="38B38186" w14:textId="42018611"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Ascendente</w:t>
            </w:r>
          </w:p>
        </w:tc>
      </w:tr>
      <w:tr w:rsidR="00CE01DF" w:rsidRPr="002150BE" w14:paraId="772E036B" w14:textId="77777777" w:rsidTr="00CE01DF">
        <w:trPr>
          <w:trHeight w:val="370"/>
        </w:trPr>
        <w:tc>
          <w:tcPr>
            <w:tcW w:w="529" w:type="dxa"/>
            <w:vMerge/>
            <w:shd w:val="clear" w:color="000000" w:fill="E9DECF"/>
            <w:noWrap/>
            <w:vAlign w:val="center"/>
          </w:tcPr>
          <w:p w14:paraId="6BC9546D" w14:textId="77777777" w:rsidR="00CE01DF" w:rsidRPr="002150BE" w:rsidRDefault="00CE01DF" w:rsidP="00CE01DF">
            <w:pPr>
              <w:spacing w:after="0" w:line="240" w:lineRule="auto"/>
              <w:rPr>
                <w:rFonts w:asciiTheme="minorHAnsi" w:hAnsiTheme="minorHAnsi" w:cstheme="minorHAnsi"/>
                <w:b/>
                <w:color w:val="3A3838"/>
                <w:sz w:val="18"/>
                <w:szCs w:val="18"/>
                <w:lang w:eastAsia="es-MX"/>
              </w:rPr>
            </w:pPr>
          </w:p>
        </w:tc>
        <w:tc>
          <w:tcPr>
            <w:tcW w:w="752" w:type="dxa"/>
            <w:shd w:val="clear" w:color="auto" w:fill="F2F2F2" w:themeFill="background1" w:themeFillShade="F2"/>
            <w:noWrap/>
            <w:vAlign w:val="center"/>
          </w:tcPr>
          <w:p w14:paraId="25B8B922" w14:textId="78807B50" w:rsidR="00CE01DF" w:rsidRPr="002150BE" w:rsidRDefault="00CE01DF" w:rsidP="00CE01DF">
            <w:pPr>
              <w:spacing w:after="0" w:line="240" w:lineRule="auto"/>
              <w:rPr>
                <w:rFonts w:asciiTheme="minorHAnsi" w:hAnsiTheme="minorHAnsi" w:cstheme="minorHAnsi"/>
                <w:color w:val="3A3838"/>
                <w:sz w:val="14"/>
                <w:szCs w:val="18"/>
                <w:lang w:eastAsia="es-MX"/>
              </w:rPr>
            </w:pPr>
            <w:r w:rsidRPr="002150BE">
              <w:rPr>
                <w:rFonts w:asciiTheme="minorHAnsi" w:hAnsiTheme="minorHAnsi" w:cstheme="minorHAnsi"/>
                <w:color w:val="3A3838"/>
                <w:sz w:val="14"/>
                <w:szCs w:val="16"/>
                <w:lang w:eastAsia="es-MX"/>
              </w:rPr>
              <w:t>Actividad 1.1</w:t>
            </w:r>
          </w:p>
        </w:tc>
        <w:tc>
          <w:tcPr>
            <w:tcW w:w="1134" w:type="dxa"/>
            <w:vAlign w:val="center"/>
          </w:tcPr>
          <w:p w14:paraId="3AA3179B" w14:textId="23ACD157" w:rsidR="00CE01DF" w:rsidRPr="002150BE" w:rsidRDefault="00CE01DF"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Porcentaje de asistencia a expo universidades.</w:t>
            </w:r>
          </w:p>
        </w:tc>
        <w:tc>
          <w:tcPr>
            <w:tcW w:w="1701" w:type="dxa"/>
            <w:gridSpan w:val="2"/>
            <w:vAlign w:val="center"/>
          </w:tcPr>
          <w:p w14:paraId="1DCD6F60" w14:textId="77777777" w:rsidR="00CE01DF" w:rsidRPr="002150BE" w:rsidRDefault="00CE01DF" w:rsidP="00CE01DF">
            <w:pPr>
              <w:spacing w:after="0" w:line="240" w:lineRule="auto"/>
              <w:jc w:val="center"/>
              <w:rPr>
                <w:rFonts w:asciiTheme="minorHAnsi" w:hAnsiTheme="minorHAnsi" w:cstheme="minorHAnsi"/>
                <w:color w:val="000000"/>
                <w:sz w:val="14"/>
                <w:szCs w:val="14"/>
                <w:lang w:eastAsia="es-MX"/>
              </w:rPr>
            </w:pPr>
          </w:p>
        </w:tc>
        <w:tc>
          <w:tcPr>
            <w:tcW w:w="905" w:type="dxa"/>
            <w:gridSpan w:val="2"/>
            <w:vAlign w:val="center"/>
          </w:tcPr>
          <w:p w14:paraId="6D367616" w14:textId="77777777" w:rsidR="00CE01DF" w:rsidRPr="002150BE" w:rsidRDefault="00CE01DF" w:rsidP="00CE01DF">
            <w:pPr>
              <w:spacing w:after="0" w:line="240" w:lineRule="auto"/>
              <w:jc w:val="center"/>
              <w:rPr>
                <w:rFonts w:asciiTheme="minorHAnsi" w:hAnsiTheme="minorHAnsi" w:cstheme="minorHAnsi"/>
                <w:color w:val="000000"/>
                <w:sz w:val="14"/>
                <w:szCs w:val="14"/>
                <w:lang w:eastAsia="es-MX"/>
              </w:rPr>
            </w:pPr>
          </w:p>
        </w:tc>
        <w:tc>
          <w:tcPr>
            <w:tcW w:w="1153" w:type="dxa"/>
            <w:gridSpan w:val="4"/>
            <w:vAlign w:val="center"/>
          </w:tcPr>
          <w:p w14:paraId="5D5D1D61" w14:textId="2583B6CE" w:rsidR="00CE01DF" w:rsidRPr="002150BE" w:rsidRDefault="00CE01DF"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Porcentaje (%).</w:t>
            </w:r>
          </w:p>
        </w:tc>
        <w:tc>
          <w:tcPr>
            <w:tcW w:w="1486" w:type="dxa"/>
            <w:gridSpan w:val="3"/>
            <w:vAlign w:val="center"/>
          </w:tcPr>
          <w:p w14:paraId="583D07F3" w14:textId="476F3515" w:rsidR="00CE01DF" w:rsidRPr="002150BE" w:rsidRDefault="00CE01DF"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Trimestral / anual.</w:t>
            </w:r>
          </w:p>
        </w:tc>
        <w:tc>
          <w:tcPr>
            <w:tcW w:w="818" w:type="dxa"/>
            <w:gridSpan w:val="2"/>
            <w:vAlign w:val="center"/>
          </w:tcPr>
          <w:p w14:paraId="3866DCD4" w14:textId="7E93DD6B" w:rsidR="00CE01DF" w:rsidRPr="002150BE" w:rsidRDefault="00CE01DF"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Valor 2023.</w:t>
            </w:r>
          </w:p>
        </w:tc>
        <w:tc>
          <w:tcPr>
            <w:tcW w:w="1153" w:type="dxa"/>
            <w:vAlign w:val="center"/>
          </w:tcPr>
          <w:p w14:paraId="5D328BE7" w14:textId="5DA5984F" w:rsidR="00CE01DF" w:rsidRPr="002150BE" w:rsidRDefault="00CE01DF"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Ascendente</w:t>
            </w:r>
          </w:p>
        </w:tc>
      </w:tr>
      <w:tr w:rsidR="00CE01DF" w:rsidRPr="002150BE" w14:paraId="0617B679" w14:textId="77777777" w:rsidTr="00CE01DF">
        <w:trPr>
          <w:trHeight w:val="370"/>
        </w:trPr>
        <w:tc>
          <w:tcPr>
            <w:tcW w:w="529" w:type="dxa"/>
            <w:vMerge w:val="restart"/>
            <w:shd w:val="clear" w:color="auto" w:fill="D9D9D9" w:themeFill="background1" w:themeFillShade="D9"/>
            <w:noWrap/>
            <w:vAlign w:val="center"/>
          </w:tcPr>
          <w:p w14:paraId="05BAA9EE" w14:textId="77777777" w:rsidR="00CE01DF" w:rsidRPr="002150BE" w:rsidRDefault="00CE01DF" w:rsidP="00CE01DF">
            <w:pPr>
              <w:spacing w:after="0" w:line="240" w:lineRule="auto"/>
              <w:rPr>
                <w:rFonts w:asciiTheme="minorHAnsi" w:hAnsiTheme="minorHAnsi" w:cstheme="minorHAnsi"/>
                <w:b/>
                <w:color w:val="3A3838"/>
                <w:sz w:val="18"/>
                <w:szCs w:val="18"/>
                <w:lang w:eastAsia="es-MX"/>
              </w:rPr>
            </w:pPr>
          </w:p>
        </w:tc>
        <w:tc>
          <w:tcPr>
            <w:tcW w:w="752" w:type="dxa"/>
            <w:shd w:val="clear" w:color="auto" w:fill="F2F2F2" w:themeFill="background1" w:themeFillShade="F2"/>
            <w:noWrap/>
            <w:vAlign w:val="center"/>
          </w:tcPr>
          <w:p w14:paraId="6515B17A" w14:textId="137EE5C3" w:rsidR="00CE01DF" w:rsidRPr="002150BE" w:rsidRDefault="00CE01DF" w:rsidP="00CE01DF">
            <w:pPr>
              <w:spacing w:after="0" w:line="240" w:lineRule="auto"/>
              <w:rPr>
                <w:rFonts w:asciiTheme="minorHAnsi" w:hAnsiTheme="minorHAnsi" w:cstheme="minorHAnsi"/>
                <w:color w:val="3A3838"/>
                <w:sz w:val="14"/>
                <w:szCs w:val="16"/>
                <w:lang w:eastAsia="es-MX"/>
              </w:rPr>
            </w:pPr>
            <w:r w:rsidRPr="002150BE">
              <w:rPr>
                <w:rFonts w:asciiTheme="minorHAnsi" w:hAnsiTheme="minorHAnsi" w:cstheme="minorHAnsi"/>
                <w:color w:val="3A3838"/>
                <w:sz w:val="14"/>
                <w:szCs w:val="16"/>
                <w:lang w:eastAsia="es-MX"/>
              </w:rPr>
              <w:t>Actividad 1.2</w:t>
            </w:r>
          </w:p>
        </w:tc>
        <w:tc>
          <w:tcPr>
            <w:tcW w:w="1134" w:type="dxa"/>
            <w:vAlign w:val="center"/>
          </w:tcPr>
          <w:p w14:paraId="0C4680FF" w14:textId="7B95D317" w:rsidR="00CE01DF" w:rsidRPr="002150BE" w:rsidRDefault="00CE01DF"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Porcentaje de estudiantes que cursan su estadía; Porcentaje de convenios suscritos para facilitar la participación estudiantil.</w:t>
            </w:r>
          </w:p>
        </w:tc>
        <w:tc>
          <w:tcPr>
            <w:tcW w:w="1701" w:type="dxa"/>
            <w:gridSpan w:val="2"/>
            <w:vAlign w:val="center"/>
          </w:tcPr>
          <w:p w14:paraId="07CF6ACA" w14:textId="77777777" w:rsidR="00CE01DF" w:rsidRPr="002150BE" w:rsidRDefault="00CE01DF" w:rsidP="00CE01DF">
            <w:pPr>
              <w:spacing w:after="0" w:line="240" w:lineRule="auto"/>
              <w:jc w:val="center"/>
              <w:rPr>
                <w:rFonts w:asciiTheme="minorHAnsi" w:hAnsiTheme="minorHAnsi" w:cstheme="minorHAnsi"/>
                <w:color w:val="000000"/>
                <w:sz w:val="14"/>
                <w:szCs w:val="14"/>
                <w:lang w:eastAsia="es-MX"/>
              </w:rPr>
            </w:pPr>
          </w:p>
        </w:tc>
        <w:tc>
          <w:tcPr>
            <w:tcW w:w="905" w:type="dxa"/>
            <w:gridSpan w:val="2"/>
            <w:vAlign w:val="center"/>
          </w:tcPr>
          <w:p w14:paraId="3B408B0B" w14:textId="77777777" w:rsidR="00CE01DF" w:rsidRPr="002150BE" w:rsidRDefault="00CE01DF" w:rsidP="00CE01DF">
            <w:pPr>
              <w:spacing w:after="0" w:line="240" w:lineRule="auto"/>
              <w:jc w:val="center"/>
              <w:rPr>
                <w:rFonts w:asciiTheme="minorHAnsi" w:hAnsiTheme="minorHAnsi" w:cstheme="minorHAnsi"/>
                <w:color w:val="000000"/>
                <w:sz w:val="14"/>
                <w:szCs w:val="14"/>
                <w:lang w:eastAsia="es-MX"/>
              </w:rPr>
            </w:pPr>
          </w:p>
        </w:tc>
        <w:tc>
          <w:tcPr>
            <w:tcW w:w="1153" w:type="dxa"/>
            <w:gridSpan w:val="4"/>
            <w:vAlign w:val="center"/>
          </w:tcPr>
          <w:p w14:paraId="3622FFA9" w14:textId="4908BB53" w:rsidR="00CE01DF" w:rsidRPr="002150BE" w:rsidRDefault="00CE01DF"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Porcentaje (%).</w:t>
            </w:r>
          </w:p>
        </w:tc>
        <w:tc>
          <w:tcPr>
            <w:tcW w:w="1486" w:type="dxa"/>
            <w:gridSpan w:val="3"/>
            <w:vAlign w:val="center"/>
          </w:tcPr>
          <w:p w14:paraId="77B6C7FD" w14:textId="0B2D10CB" w:rsidR="00CE01DF" w:rsidRPr="002150BE" w:rsidRDefault="00CE01DF"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Trimestral / anual.</w:t>
            </w:r>
          </w:p>
        </w:tc>
        <w:tc>
          <w:tcPr>
            <w:tcW w:w="818" w:type="dxa"/>
            <w:gridSpan w:val="2"/>
            <w:vAlign w:val="center"/>
          </w:tcPr>
          <w:p w14:paraId="3A232DB2" w14:textId="09A252D4" w:rsidR="00CE01DF" w:rsidRPr="002150BE" w:rsidRDefault="00CE01DF"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Valor 2023.</w:t>
            </w:r>
          </w:p>
        </w:tc>
        <w:tc>
          <w:tcPr>
            <w:tcW w:w="1153" w:type="dxa"/>
            <w:vAlign w:val="center"/>
          </w:tcPr>
          <w:p w14:paraId="729CD802" w14:textId="482C96FE" w:rsidR="00CE01DF" w:rsidRPr="002150BE" w:rsidRDefault="00CE01DF"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Ascendente</w:t>
            </w:r>
          </w:p>
        </w:tc>
      </w:tr>
      <w:tr w:rsidR="00755BC5" w:rsidRPr="002150BE" w14:paraId="216D9092" w14:textId="77777777" w:rsidTr="00CE01DF">
        <w:trPr>
          <w:trHeight w:val="370"/>
        </w:trPr>
        <w:tc>
          <w:tcPr>
            <w:tcW w:w="529" w:type="dxa"/>
            <w:vMerge/>
            <w:shd w:val="clear" w:color="auto" w:fill="D9D9D9" w:themeFill="background1" w:themeFillShade="D9"/>
            <w:noWrap/>
            <w:vAlign w:val="center"/>
          </w:tcPr>
          <w:p w14:paraId="35A27938" w14:textId="77777777" w:rsidR="00755BC5" w:rsidRPr="002150BE" w:rsidRDefault="00755BC5" w:rsidP="00755BC5">
            <w:pPr>
              <w:spacing w:after="0" w:line="240" w:lineRule="auto"/>
              <w:rPr>
                <w:rFonts w:asciiTheme="minorHAnsi" w:hAnsiTheme="minorHAnsi" w:cstheme="minorHAnsi"/>
                <w:b/>
                <w:color w:val="3A3838"/>
                <w:sz w:val="18"/>
                <w:szCs w:val="18"/>
                <w:lang w:eastAsia="es-MX"/>
              </w:rPr>
            </w:pPr>
          </w:p>
        </w:tc>
        <w:tc>
          <w:tcPr>
            <w:tcW w:w="752" w:type="dxa"/>
            <w:shd w:val="clear" w:color="auto" w:fill="F2F2F2" w:themeFill="background1" w:themeFillShade="F2"/>
            <w:noWrap/>
            <w:vAlign w:val="center"/>
          </w:tcPr>
          <w:p w14:paraId="35113788" w14:textId="02B0D363" w:rsidR="00755BC5" w:rsidRPr="002150BE" w:rsidRDefault="00755BC5" w:rsidP="00755BC5">
            <w:pPr>
              <w:spacing w:after="0" w:line="240" w:lineRule="auto"/>
              <w:rPr>
                <w:rFonts w:asciiTheme="minorHAnsi" w:hAnsiTheme="minorHAnsi" w:cstheme="minorHAnsi"/>
                <w:color w:val="3A3838"/>
                <w:sz w:val="14"/>
                <w:szCs w:val="16"/>
                <w:lang w:eastAsia="es-MX"/>
              </w:rPr>
            </w:pPr>
            <w:r w:rsidRPr="002150BE">
              <w:rPr>
                <w:rFonts w:asciiTheme="minorHAnsi" w:hAnsiTheme="minorHAnsi" w:cstheme="minorHAnsi"/>
                <w:color w:val="3A3838"/>
                <w:sz w:val="14"/>
                <w:szCs w:val="16"/>
                <w:lang w:eastAsia="es-MX"/>
              </w:rPr>
              <w:t xml:space="preserve">Actividad </w:t>
            </w:r>
            <w:r w:rsidR="00CE01DF" w:rsidRPr="002150BE">
              <w:rPr>
                <w:rFonts w:asciiTheme="minorHAnsi" w:hAnsiTheme="minorHAnsi" w:cstheme="minorHAnsi"/>
                <w:color w:val="3A3838"/>
                <w:sz w:val="14"/>
                <w:szCs w:val="16"/>
                <w:lang w:eastAsia="es-MX"/>
              </w:rPr>
              <w:t>2</w:t>
            </w:r>
            <w:r w:rsidRPr="002150BE">
              <w:rPr>
                <w:rFonts w:asciiTheme="minorHAnsi" w:hAnsiTheme="minorHAnsi" w:cstheme="minorHAnsi"/>
                <w:color w:val="3A3838"/>
                <w:sz w:val="14"/>
                <w:szCs w:val="16"/>
                <w:lang w:eastAsia="es-MX"/>
              </w:rPr>
              <w:t>.1</w:t>
            </w:r>
          </w:p>
        </w:tc>
        <w:tc>
          <w:tcPr>
            <w:tcW w:w="1134" w:type="dxa"/>
            <w:vAlign w:val="center"/>
          </w:tcPr>
          <w:p w14:paraId="708C1C3E" w14:textId="5C214E24"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Porcentaje de avance en encuestas a egresados.</w:t>
            </w:r>
          </w:p>
        </w:tc>
        <w:tc>
          <w:tcPr>
            <w:tcW w:w="1701" w:type="dxa"/>
            <w:gridSpan w:val="2"/>
            <w:vAlign w:val="center"/>
          </w:tcPr>
          <w:p w14:paraId="4A246D6F" w14:textId="77777777" w:rsidR="00755BC5" w:rsidRPr="002150BE" w:rsidRDefault="00755BC5" w:rsidP="00CE01DF">
            <w:pPr>
              <w:spacing w:after="0" w:line="240" w:lineRule="auto"/>
              <w:jc w:val="center"/>
              <w:rPr>
                <w:rFonts w:asciiTheme="minorHAnsi" w:hAnsiTheme="minorHAnsi" w:cstheme="minorHAnsi"/>
                <w:color w:val="000000"/>
                <w:sz w:val="14"/>
                <w:szCs w:val="14"/>
                <w:lang w:eastAsia="es-MX"/>
              </w:rPr>
            </w:pPr>
          </w:p>
        </w:tc>
        <w:tc>
          <w:tcPr>
            <w:tcW w:w="905" w:type="dxa"/>
            <w:gridSpan w:val="2"/>
            <w:vAlign w:val="center"/>
          </w:tcPr>
          <w:p w14:paraId="72871F5A" w14:textId="77777777" w:rsidR="00755BC5" w:rsidRPr="002150BE" w:rsidRDefault="00755BC5" w:rsidP="00CE01DF">
            <w:pPr>
              <w:spacing w:after="0" w:line="240" w:lineRule="auto"/>
              <w:jc w:val="center"/>
              <w:rPr>
                <w:rFonts w:asciiTheme="minorHAnsi" w:hAnsiTheme="minorHAnsi" w:cstheme="minorHAnsi"/>
                <w:color w:val="000000"/>
                <w:sz w:val="14"/>
                <w:szCs w:val="14"/>
                <w:lang w:eastAsia="es-MX"/>
              </w:rPr>
            </w:pPr>
          </w:p>
        </w:tc>
        <w:tc>
          <w:tcPr>
            <w:tcW w:w="1153" w:type="dxa"/>
            <w:gridSpan w:val="4"/>
            <w:vAlign w:val="center"/>
          </w:tcPr>
          <w:p w14:paraId="44CAAC57" w14:textId="262CF375"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Porcentaje (%).</w:t>
            </w:r>
          </w:p>
        </w:tc>
        <w:tc>
          <w:tcPr>
            <w:tcW w:w="1486" w:type="dxa"/>
            <w:gridSpan w:val="3"/>
            <w:vAlign w:val="center"/>
          </w:tcPr>
          <w:p w14:paraId="2E426E22" w14:textId="0977EAD2"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Trimestral / anual.</w:t>
            </w:r>
          </w:p>
        </w:tc>
        <w:tc>
          <w:tcPr>
            <w:tcW w:w="818" w:type="dxa"/>
            <w:gridSpan w:val="2"/>
            <w:vAlign w:val="center"/>
          </w:tcPr>
          <w:p w14:paraId="4587D0BD" w14:textId="5AE22861"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Valor 2023.</w:t>
            </w:r>
          </w:p>
        </w:tc>
        <w:tc>
          <w:tcPr>
            <w:tcW w:w="1153" w:type="dxa"/>
            <w:vAlign w:val="center"/>
          </w:tcPr>
          <w:p w14:paraId="065FB9F5" w14:textId="03DD01DE"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Ascendente</w:t>
            </w:r>
          </w:p>
        </w:tc>
      </w:tr>
      <w:tr w:rsidR="00755BC5" w:rsidRPr="002150BE" w14:paraId="219ABE4E" w14:textId="77777777" w:rsidTr="00CE01DF">
        <w:trPr>
          <w:trHeight w:val="370"/>
        </w:trPr>
        <w:tc>
          <w:tcPr>
            <w:tcW w:w="529" w:type="dxa"/>
            <w:vMerge/>
            <w:shd w:val="clear" w:color="auto" w:fill="D9D9D9" w:themeFill="background1" w:themeFillShade="D9"/>
            <w:noWrap/>
            <w:vAlign w:val="center"/>
          </w:tcPr>
          <w:p w14:paraId="5FFE945A" w14:textId="77777777" w:rsidR="00755BC5" w:rsidRPr="002150BE" w:rsidRDefault="00755BC5" w:rsidP="00755BC5">
            <w:pPr>
              <w:spacing w:after="0" w:line="240" w:lineRule="auto"/>
              <w:rPr>
                <w:rFonts w:asciiTheme="minorHAnsi" w:hAnsiTheme="minorHAnsi" w:cstheme="minorHAnsi"/>
                <w:b/>
                <w:color w:val="3A3838"/>
                <w:sz w:val="18"/>
                <w:szCs w:val="18"/>
                <w:lang w:eastAsia="es-MX"/>
              </w:rPr>
            </w:pPr>
          </w:p>
        </w:tc>
        <w:tc>
          <w:tcPr>
            <w:tcW w:w="752" w:type="dxa"/>
            <w:shd w:val="clear" w:color="auto" w:fill="F2F2F2" w:themeFill="background1" w:themeFillShade="F2"/>
            <w:noWrap/>
            <w:vAlign w:val="center"/>
          </w:tcPr>
          <w:p w14:paraId="448E2446" w14:textId="691A9139" w:rsidR="00755BC5" w:rsidRPr="002150BE" w:rsidRDefault="00755BC5" w:rsidP="00755BC5">
            <w:pPr>
              <w:spacing w:after="0" w:line="240" w:lineRule="auto"/>
              <w:rPr>
                <w:rFonts w:asciiTheme="minorHAnsi" w:hAnsiTheme="minorHAnsi" w:cstheme="minorHAnsi"/>
                <w:color w:val="3A3838"/>
                <w:sz w:val="14"/>
                <w:szCs w:val="16"/>
                <w:lang w:eastAsia="es-MX"/>
              </w:rPr>
            </w:pPr>
            <w:r w:rsidRPr="002150BE">
              <w:rPr>
                <w:rFonts w:asciiTheme="minorHAnsi" w:hAnsiTheme="minorHAnsi" w:cstheme="minorHAnsi"/>
                <w:color w:val="3A3838"/>
                <w:sz w:val="14"/>
                <w:szCs w:val="16"/>
                <w:lang w:eastAsia="es-MX"/>
              </w:rPr>
              <w:t>Actividad 3.1</w:t>
            </w:r>
          </w:p>
        </w:tc>
        <w:tc>
          <w:tcPr>
            <w:tcW w:w="1134" w:type="dxa"/>
            <w:vAlign w:val="center"/>
          </w:tcPr>
          <w:p w14:paraId="1C127AA2" w14:textId="6AFCE518"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Porcentaje de profesores capacitados; Porcentaje de profesores habilitados.</w:t>
            </w:r>
          </w:p>
        </w:tc>
        <w:tc>
          <w:tcPr>
            <w:tcW w:w="1701" w:type="dxa"/>
            <w:gridSpan w:val="2"/>
            <w:vAlign w:val="center"/>
          </w:tcPr>
          <w:p w14:paraId="0BF74D3B" w14:textId="77777777" w:rsidR="00755BC5" w:rsidRPr="002150BE" w:rsidRDefault="00755BC5" w:rsidP="00CE01DF">
            <w:pPr>
              <w:spacing w:after="0" w:line="240" w:lineRule="auto"/>
              <w:jc w:val="center"/>
              <w:rPr>
                <w:rFonts w:asciiTheme="minorHAnsi" w:hAnsiTheme="minorHAnsi" w:cstheme="minorHAnsi"/>
                <w:color w:val="000000"/>
                <w:sz w:val="14"/>
                <w:szCs w:val="14"/>
                <w:lang w:eastAsia="es-MX"/>
              </w:rPr>
            </w:pPr>
          </w:p>
        </w:tc>
        <w:tc>
          <w:tcPr>
            <w:tcW w:w="905" w:type="dxa"/>
            <w:gridSpan w:val="2"/>
            <w:vAlign w:val="center"/>
          </w:tcPr>
          <w:p w14:paraId="295A82A3" w14:textId="77777777" w:rsidR="00755BC5" w:rsidRPr="002150BE" w:rsidRDefault="00755BC5" w:rsidP="00CE01DF">
            <w:pPr>
              <w:spacing w:after="0" w:line="240" w:lineRule="auto"/>
              <w:jc w:val="center"/>
              <w:rPr>
                <w:rFonts w:asciiTheme="minorHAnsi" w:hAnsiTheme="minorHAnsi" w:cstheme="minorHAnsi"/>
                <w:color w:val="000000"/>
                <w:sz w:val="14"/>
                <w:szCs w:val="14"/>
                <w:lang w:eastAsia="es-MX"/>
              </w:rPr>
            </w:pPr>
          </w:p>
        </w:tc>
        <w:tc>
          <w:tcPr>
            <w:tcW w:w="1153" w:type="dxa"/>
            <w:gridSpan w:val="4"/>
            <w:vAlign w:val="center"/>
          </w:tcPr>
          <w:p w14:paraId="10527585" w14:textId="25848814"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Porcentaje (%).</w:t>
            </w:r>
          </w:p>
        </w:tc>
        <w:tc>
          <w:tcPr>
            <w:tcW w:w="1486" w:type="dxa"/>
            <w:gridSpan w:val="3"/>
            <w:vAlign w:val="center"/>
          </w:tcPr>
          <w:p w14:paraId="46731BAD" w14:textId="58782BF7"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Trimestral / anual.</w:t>
            </w:r>
          </w:p>
        </w:tc>
        <w:tc>
          <w:tcPr>
            <w:tcW w:w="818" w:type="dxa"/>
            <w:gridSpan w:val="2"/>
            <w:vAlign w:val="center"/>
          </w:tcPr>
          <w:p w14:paraId="48F983B4" w14:textId="3133F592"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Valor 2023.</w:t>
            </w:r>
          </w:p>
        </w:tc>
        <w:tc>
          <w:tcPr>
            <w:tcW w:w="1153" w:type="dxa"/>
            <w:vAlign w:val="center"/>
          </w:tcPr>
          <w:p w14:paraId="273E71A6" w14:textId="509D4790"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Ascendente</w:t>
            </w:r>
          </w:p>
        </w:tc>
      </w:tr>
      <w:tr w:rsidR="00755BC5" w:rsidRPr="002150BE" w14:paraId="209690E0" w14:textId="77777777" w:rsidTr="00CE01DF">
        <w:trPr>
          <w:trHeight w:val="370"/>
        </w:trPr>
        <w:tc>
          <w:tcPr>
            <w:tcW w:w="529" w:type="dxa"/>
            <w:vMerge/>
            <w:shd w:val="clear" w:color="auto" w:fill="D9D9D9" w:themeFill="background1" w:themeFillShade="D9"/>
            <w:noWrap/>
            <w:vAlign w:val="center"/>
          </w:tcPr>
          <w:p w14:paraId="259D9199" w14:textId="77777777" w:rsidR="00755BC5" w:rsidRPr="002150BE" w:rsidRDefault="00755BC5" w:rsidP="00755BC5">
            <w:pPr>
              <w:spacing w:after="0" w:line="240" w:lineRule="auto"/>
              <w:rPr>
                <w:rFonts w:asciiTheme="minorHAnsi" w:hAnsiTheme="minorHAnsi" w:cstheme="minorHAnsi"/>
                <w:b/>
                <w:color w:val="3A3838"/>
                <w:sz w:val="18"/>
                <w:szCs w:val="18"/>
                <w:lang w:eastAsia="es-MX"/>
              </w:rPr>
            </w:pPr>
          </w:p>
        </w:tc>
        <w:tc>
          <w:tcPr>
            <w:tcW w:w="752" w:type="dxa"/>
            <w:shd w:val="clear" w:color="auto" w:fill="F2F2F2" w:themeFill="background1" w:themeFillShade="F2"/>
            <w:noWrap/>
            <w:vAlign w:val="center"/>
          </w:tcPr>
          <w:p w14:paraId="28E7691C" w14:textId="2102A5DD" w:rsidR="00755BC5" w:rsidRPr="002150BE" w:rsidRDefault="00755BC5" w:rsidP="00755BC5">
            <w:pPr>
              <w:spacing w:after="0" w:line="240" w:lineRule="auto"/>
              <w:rPr>
                <w:rFonts w:asciiTheme="minorHAnsi" w:hAnsiTheme="minorHAnsi" w:cstheme="minorHAnsi"/>
                <w:color w:val="3A3838"/>
                <w:sz w:val="14"/>
                <w:szCs w:val="16"/>
                <w:lang w:eastAsia="es-MX"/>
              </w:rPr>
            </w:pPr>
            <w:r w:rsidRPr="002150BE">
              <w:rPr>
                <w:rFonts w:asciiTheme="minorHAnsi" w:hAnsiTheme="minorHAnsi" w:cstheme="minorHAnsi"/>
                <w:color w:val="3A3838"/>
                <w:sz w:val="14"/>
                <w:szCs w:val="16"/>
                <w:lang w:eastAsia="es-MX"/>
              </w:rPr>
              <w:t>Actividad 3.</w:t>
            </w:r>
            <w:r w:rsidR="00CE01DF" w:rsidRPr="002150BE">
              <w:rPr>
                <w:rFonts w:asciiTheme="minorHAnsi" w:hAnsiTheme="minorHAnsi" w:cstheme="minorHAnsi"/>
                <w:color w:val="3A3838"/>
                <w:sz w:val="14"/>
                <w:szCs w:val="16"/>
                <w:lang w:eastAsia="es-MX"/>
              </w:rPr>
              <w:t>2</w:t>
            </w:r>
          </w:p>
        </w:tc>
        <w:tc>
          <w:tcPr>
            <w:tcW w:w="1134" w:type="dxa"/>
            <w:vAlign w:val="center"/>
          </w:tcPr>
          <w:p w14:paraId="50B8186F" w14:textId="3D47D718"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Porcentaje de avance de acciones de mantenimiento y conservación.</w:t>
            </w:r>
          </w:p>
        </w:tc>
        <w:tc>
          <w:tcPr>
            <w:tcW w:w="1701" w:type="dxa"/>
            <w:gridSpan w:val="2"/>
            <w:vAlign w:val="center"/>
          </w:tcPr>
          <w:p w14:paraId="418E3C2E" w14:textId="77777777" w:rsidR="00755BC5" w:rsidRPr="002150BE" w:rsidRDefault="00755BC5" w:rsidP="00CE01DF">
            <w:pPr>
              <w:spacing w:after="0" w:line="240" w:lineRule="auto"/>
              <w:jc w:val="center"/>
              <w:rPr>
                <w:rFonts w:asciiTheme="minorHAnsi" w:hAnsiTheme="minorHAnsi" w:cstheme="minorHAnsi"/>
                <w:color w:val="000000"/>
                <w:sz w:val="14"/>
                <w:szCs w:val="14"/>
                <w:lang w:eastAsia="es-MX"/>
              </w:rPr>
            </w:pPr>
          </w:p>
        </w:tc>
        <w:tc>
          <w:tcPr>
            <w:tcW w:w="905" w:type="dxa"/>
            <w:gridSpan w:val="2"/>
            <w:vAlign w:val="center"/>
          </w:tcPr>
          <w:p w14:paraId="08A79318" w14:textId="77777777" w:rsidR="00755BC5" w:rsidRPr="002150BE" w:rsidRDefault="00755BC5" w:rsidP="00CE01DF">
            <w:pPr>
              <w:spacing w:after="0" w:line="240" w:lineRule="auto"/>
              <w:jc w:val="center"/>
              <w:rPr>
                <w:rFonts w:asciiTheme="minorHAnsi" w:hAnsiTheme="minorHAnsi" w:cstheme="minorHAnsi"/>
                <w:color w:val="000000"/>
                <w:sz w:val="14"/>
                <w:szCs w:val="14"/>
                <w:lang w:eastAsia="es-MX"/>
              </w:rPr>
            </w:pPr>
          </w:p>
        </w:tc>
        <w:tc>
          <w:tcPr>
            <w:tcW w:w="1153" w:type="dxa"/>
            <w:gridSpan w:val="4"/>
            <w:vAlign w:val="center"/>
          </w:tcPr>
          <w:p w14:paraId="1FC2C627" w14:textId="65FD5103"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Porcentaje (%).</w:t>
            </w:r>
          </w:p>
        </w:tc>
        <w:tc>
          <w:tcPr>
            <w:tcW w:w="1486" w:type="dxa"/>
            <w:gridSpan w:val="3"/>
            <w:vAlign w:val="center"/>
          </w:tcPr>
          <w:p w14:paraId="0E38961F" w14:textId="1BDBFDB5"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Trimestral / anual.</w:t>
            </w:r>
          </w:p>
        </w:tc>
        <w:tc>
          <w:tcPr>
            <w:tcW w:w="818" w:type="dxa"/>
            <w:gridSpan w:val="2"/>
            <w:vAlign w:val="center"/>
          </w:tcPr>
          <w:p w14:paraId="2BE3CF79" w14:textId="120F9249"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Valor 2023.</w:t>
            </w:r>
          </w:p>
        </w:tc>
        <w:tc>
          <w:tcPr>
            <w:tcW w:w="1153" w:type="dxa"/>
            <w:vAlign w:val="center"/>
          </w:tcPr>
          <w:p w14:paraId="5D9B0EE0" w14:textId="54FCD56F"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Ascendente</w:t>
            </w:r>
          </w:p>
        </w:tc>
      </w:tr>
      <w:tr w:rsidR="00755BC5" w:rsidRPr="002150BE" w14:paraId="73956DDB" w14:textId="77777777" w:rsidTr="00CE01DF">
        <w:trPr>
          <w:trHeight w:val="370"/>
        </w:trPr>
        <w:tc>
          <w:tcPr>
            <w:tcW w:w="529" w:type="dxa"/>
            <w:vMerge/>
            <w:shd w:val="clear" w:color="auto" w:fill="D9D9D9" w:themeFill="background1" w:themeFillShade="D9"/>
            <w:noWrap/>
            <w:vAlign w:val="center"/>
          </w:tcPr>
          <w:p w14:paraId="2831CA16" w14:textId="77777777" w:rsidR="00755BC5" w:rsidRPr="002150BE" w:rsidRDefault="00755BC5" w:rsidP="00755BC5">
            <w:pPr>
              <w:spacing w:after="0" w:line="240" w:lineRule="auto"/>
              <w:rPr>
                <w:rFonts w:asciiTheme="minorHAnsi" w:hAnsiTheme="minorHAnsi" w:cstheme="minorHAnsi"/>
                <w:b/>
                <w:color w:val="3A3838"/>
                <w:sz w:val="18"/>
                <w:szCs w:val="18"/>
                <w:lang w:eastAsia="es-MX"/>
              </w:rPr>
            </w:pPr>
          </w:p>
        </w:tc>
        <w:tc>
          <w:tcPr>
            <w:tcW w:w="752" w:type="dxa"/>
            <w:shd w:val="clear" w:color="auto" w:fill="F2F2F2" w:themeFill="background1" w:themeFillShade="F2"/>
            <w:noWrap/>
            <w:vAlign w:val="center"/>
          </w:tcPr>
          <w:p w14:paraId="1922775A" w14:textId="44F83F23" w:rsidR="00755BC5" w:rsidRPr="002150BE" w:rsidRDefault="00755BC5" w:rsidP="00755BC5">
            <w:pPr>
              <w:spacing w:after="0" w:line="240" w:lineRule="auto"/>
              <w:rPr>
                <w:rFonts w:asciiTheme="minorHAnsi" w:hAnsiTheme="minorHAnsi" w:cstheme="minorHAnsi"/>
                <w:color w:val="3A3838"/>
                <w:sz w:val="14"/>
                <w:szCs w:val="16"/>
                <w:lang w:eastAsia="es-MX"/>
              </w:rPr>
            </w:pPr>
            <w:r w:rsidRPr="002150BE">
              <w:rPr>
                <w:rFonts w:asciiTheme="minorHAnsi" w:hAnsiTheme="minorHAnsi" w:cstheme="minorHAnsi"/>
                <w:color w:val="3A3838"/>
                <w:sz w:val="14"/>
                <w:szCs w:val="16"/>
                <w:lang w:eastAsia="es-MX"/>
              </w:rPr>
              <w:t>Actividad 3.</w:t>
            </w:r>
            <w:r w:rsidR="00CE01DF" w:rsidRPr="002150BE">
              <w:rPr>
                <w:rFonts w:asciiTheme="minorHAnsi" w:hAnsiTheme="minorHAnsi" w:cstheme="minorHAnsi"/>
                <w:color w:val="3A3838"/>
                <w:sz w:val="14"/>
                <w:szCs w:val="16"/>
                <w:lang w:eastAsia="es-MX"/>
              </w:rPr>
              <w:t>3</w:t>
            </w:r>
          </w:p>
        </w:tc>
        <w:tc>
          <w:tcPr>
            <w:tcW w:w="1134" w:type="dxa"/>
            <w:vAlign w:val="center"/>
          </w:tcPr>
          <w:p w14:paraId="5A496480" w14:textId="16EDC9FC"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Suficiencia del internet abierto de alta velocidad.</w:t>
            </w:r>
          </w:p>
        </w:tc>
        <w:tc>
          <w:tcPr>
            <w:tcW w:w="1701" w:type="dxa"/>
            <w:gridSpan w:val="2"/>
            <w:vAlign w:val="center"/>
          </w:tcPr>
          <w:p w14:paraId="4CA1742A" w14:textId="77777777" w:rsidR="00755BC5" w:rsidRPr="002150BE" w:rsidRDefault="00755BC5" w:rsidP="00CE01DF">
            <w:pPr>
              <w:spacing w:after="0" w:line="240" w:lineRule="auto"/>
              <w:jc w:val="center"/>
              <w:rPr>
                <w:rFonts w:asciiTheme="minorHAnsi" w:hAnsiTheme="minorHAnsi" w:cstheme="minorHAnsi"/>
                <w:color w:val="000000"/>
                <w:sz w:val="14"/>
                <w:szCs w:val="14"/>
                <w:lang w:eastAsia="es-MX"/>
              </w:rPr>
            </w:pPr>
          </w:p>
        </w:tc>
        <w:tc>
          <w:tcPr>
            <w:tcW w:w="905" w:type="dxa"/>
            <w:gridSpan w:val="2"/>
            <w:vAlign w:val="center"/>
          </w:tcPr>
          <w:p w14:paraId="68F25E26" w14:textId="77777777" w:rsidR="00755BC5" w:rsidRPr="002150BE" w:rsidRDefault="00755BC5" w:rsidP="00CE01DF">
            <w:pPr>
              <w:spacing w:after="0" w:line="240" w:lineRule="auto"/>
              <w:jc w:val="center"/>
              <w:rPr>
                <w:rFonts w:asciiTheme="minorHAnsi" w:hAnsiTheme="minorHAnsi" w:cstheme="minorHAnsi"/>
                <w:color w:val="000000"/>
                <w:sz w:val="14"/>
                <w:szCs w:val="14"/>
                <w:lang w:eastAsia="es-MX"/>
              </w:rPr>
            </w:pPr>
          </w:p>
        </w:tc>
        <w:tc>
          <w:tcPr>
            <w:tcW w:w="1153" w:type="dxa"/>
            <w:gridSpan w:val="4"/>
            <w:vAlign w:val="center"/>
          </w:tcPr>
          <w:p w14:paraId="3512D16A" w14:textId="4219CD43"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Porcentaje (%).</w:t>
            </w:r>
          </w:p>
        </w:tc>
        <w:tc>
          <w:tcPr>
            <w:tcW w:w="1486" w:type="dxa"/>
            <w:gridSpan w:val="3"/>
            <w:vAlign w:val="center"/>
          </w:tcPr>
          <w:p w14:paraId="2DF8A1C8" w14:textId="61A0BCAD"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Trimestral / anual.</w:t>
            </w:r>
          </w:p>
        </w:tc>
        <w:tc>
          <w:tcPr>
            <w:tcW w:w="818" w:type="dxa"/>
            <w:gridSpan w:val="2"/>
            <w:vAlign w:val="center"/>
          </w:tcPr>
          <w:p w14:paraId="36633A11" w14:textId="7A6BB616"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Valor 2023.</w:t>
            </w:r>
          </w:p>
        </w:tc>
        <w:tc>
          <w:tcPr>
            <w:tcW w:w="1153" w:type="dxa"/>
            <w:vAlign w:val="center"/>
          </w:tcPr>
          <w:p w14:paraId="17B771CC" w14:textId="0294E64F"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Ascendente</w:t>
            </w:r>
          </w:p>
        </w:tc>
      </w:tr>
      <w:tr w:rsidR="00755BC5" w:rsidRPr="002150BE" w14:paraId="52901CAD" w14:textId="77777777" w:rsidTr="00CE01DF">
        <w:trPr>
          <w:trHeight w:val="370"/>
        </w:trPr>
        <w:tc>
          <w:tcPr>
            <w:tcW w:w="529" w:type="dxa"/>
            <w:vMerge/>
            <w:shd w:val="clear" w:color="auto" w:fill="D9D9D9" w:themeFill="background1" w:themeFillShade="D9"/>
            <w:noWrap/>
            <w:vAlign w:val="center"/>
          </w:tcPr>
          <w:p w14:paraId="3312E631" w14:textId="77777777" w:rsidR="00755BC5" w:rsidRPr="002150BE" w:rsidRDefault="00755BC5" w:rsidP="00755BC5">
            <w:pPr>
              <w:spacing w:after="0" w:line="240" w:lineRule="auto"/>
              <w:rPr>
                <w:rFonts w:asciiTheme="minorHAnsi" w:hAnsiTheme="minorHAnsi" w:cstheme="minorHAnsi"/>
                <w:b/>
                <w:color w:val="3A3838"/>
                <w:sz w:val="18"/>
                <w:szCs w:val="18"/>
                <w:lang w:eastAsia="es-MX"/>
              </w:rPr>
            </w:pPr>
          </w:p>
        </w:tc>
        <w:tc>
          <w:tcPr>
            <w:tcW w:w="752" w:type="dxa"/>
            <w:shd w:val="clear" w:color="auto" w:fill="F2F2F2" w:themeFill="background1" w:themeFillShade="F2"/>
            <w:noWrap/>
            <w:vAlign w:val="center"/>
          </w:tcPr>
          <w:p w14:paraId="7715BD77" w14:textId="0DCE3C1C" w:rsidR="00755BC5" w:rsidRPr="002150BE" w:rsidRDefault="00755BC5" w:rsidP="00755BC5">
            <w:pPr>
              <w:spacing w:after="0" w:line="240" w:lineRule="auto"/>
              <w:rPr>
                <w:rFonts w:asciiTheme="minorHAnsi" w:hAnsiTheme="minorHAnsi" w:cstheme="minorHAnsi"/>
                <w:color w:val="3A3838"/>
                <w:sz w:val="14"/>
                <w:szCs w:val="16"/>
                <w:lang w:eastAsia="es-MX"/>
              </w:rPr>
            </w:pPr>
            <w:r w:rsidRPr="002150BE">
              <w:rPr>
                <w:rFonts w:asciiTheme="minorHAnsi" w:hAnsiTheme="minorHAnsi" w:cstheme="minorHAnsi"/>
                <w:color w:val="3A3838"/>
                <w:sz w:val="14"/>
                <w:szCs w:val="16"/>
                <w:lang w:eastAsia="es-MX"/>
              </w:rPr>
              <w:t>Actividad 3.3</w:t>
            </w:r>
          </w:p>
        </w:tc>
        <w:tc>
          <w:tcPr>
            <w:tcW w:w="1134" w:type="dxa"/>
            <w:vAlign w:val="center"/>
          </w:tcPr>
          <w:p w14:paraId="18126C01" w14:textId="1411E126"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 xml:space="preserve">Promedio de acervo bibliográfico físico por estudiantes y maestros; Porcentaje de avance en suscripción de acervos </w:t>
            </w:r>
            <w:r w:rsidRPr="002150BE">
              <w:rPr>
                <w:rFonts w:asciiTheme="minorHAnsi" w:hAnsiTheme="minorHAnsi" w:cstheme="minorHAnsi"/>
                <w:color w:val="000000"/>
                <w:sz w:val="14"/>
                <w:szCs w:val="14"/>
                <w:lang w:eastAsia="es-MX"/>
              </w:rPr>
              <w:lastRenderedPageBreak/>
              <w:t>electrónicos</w:t>
            </w:r>
          </w:p>
        </w:tc>
        <w:tc>
          <w:tcPr>
            <w:tcW w:w="1701" w:type="dxa"/>
            <w:gridSpan w:val="2"/>
            <w:vAlign w:val="center"/>
          </w:tcPr>
          <w:p w14:paraId="15C619E3" w14:textId="77777777" w:rsidR="00755BC5" w:rsidRPr="002150BE" w:rsidRDefault="00755BC5" w:rsidP="00CE01DF">
            <w:pPr>
              <w:spacing w:after="0" w:line="240" w:lineRule="auto"/>
              <w:jc w:val="center"/>
              <w:rPr>
                <w:rFonts w:asciiTheme="minorHAnsi" w:hAnsiTheme="minorHAnsi" w:cstheme="minorHAnsi"/>
                <w:color w:val="000000"/>
                <w:sz w:val="14"/>
                <w:szCs w:val="14"/>
                <w:lang w:eastAsia="es-MX"/>
              </w:rPr>
            </w:pPr>
          </w:p>
        </w:tc>
        <w:tc>
          <w:tcPr>
            <w:tcW w:w="905" w:type="dxa"/>
            <w:gridSpan w:val="2"/>
            <w:vAlign w:val="center"/>
          </w:tcPr>
          <w:p w14:paraId="6BDBE3CB" w14:textId="77777777" w:rsidR="00755BC5" w:rsidRPr="002150BE" w:rsidRDefault="00755BC5" w:rsidP="00CE01DF">
            <w:pPr>
              <w:spacing w:after="0" w:line="240" w:lineRule="auto"/>
              <w:jc w:val="center"/>
              <w:rPr>
                <w:rFonts w:asciiTheme="minorHAnsi" w:hAnsiTheme="minorHAnsi" w:cstheme="minorHAnsi"/>
                <w:color w:val="000000"/>
                <w:sz w:val="14"/>
                <w:szCs w:val="14"/>
                <w:lang w:eastAsia="es-MX"/>
              </w:rPr>
            </w:pPr>
          </w:p>
        </w:tc>
        <w:tc>
          <w:tcPr>
            <w:tcW w:w="1153" w:type="dxa"/>
            <w:gridSpan w:val="4"/>
            <w:vAlign w:val="center"/>
          </w:tcPr>
          <w:p w14:paraId="6DBEC3C7" w14:textId="26D1B63F"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Porcentaje (%).</w:t>
            </w:r>
          </w:p>
        </w:tc>
        <w:tc>
          <w:tcPr>
            <w:tcW w:w="1486" w:type="dxa"/>
            <w:gridSpan w:val="3"/>
            <w:vAlign w:val="center"/>
          </w:tcPr>
          <w:p w14:paraId="4A698BD3" w14:textId="552B86F4"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Trimestral / anual.</w:t>
            </w:r>
          </w:p>
        </w:tc>
        <w:tc>
          <w:tcPr>
            <w:tcW w:w="818" w:type="dxa"/>
            <w:gridSpan w:val="2"/>
            <w:vAlign w:val="center"/>
          </w:tcPr>
          <w:p w14:paraId="4E25F219" w14:textId="484CAE71"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Valor 2023.</w:t>
            </w:r>
          </w:p>
        </w:tc>
        <w:tc>
          <w:tcPr>
            <w:tcW w:w="1153" w:type="dxa"/>
            <w:vAlign w:val="center"/>
          </w:tcPr>
          <w:p w14:paraId="20C577C2" w14:textId="4F506BE8"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Ascendente</w:t>
            </w:r>
          </w:p>
        </w:tc>
      </w:tr>
      <w:tr w:rsidR="00755BC5" w:rsidRPr="002150BE" w14:paraId="0C069256" w14:textId="77777777" w:rsidTr="00CE01DF">
        <w:trPr>
          <w:trHeight w:val="370"/>
        </w:trPr>
        <w:tc>
          <w:tcPr>
            <w:tcW w:w="529" w:type="dxa"/>
            <w:vMerge/>
            <w:shd w:val="clear" w:color="auto" w:fill="D9D9D9" w:themeFill="background1" w:themeFillShade="D9"/>
            <w:noWrap/>
            <w:vAlign w:val="center"/>
          </w:tcPr>
          <w:p w14:paraId="6B8E21EC" w14:textId="77777777" w:rsidR="00755BC5" w:rsidRPr="002150BE" w:rsidRDefault="00755BC5" w:rsidP="00755BC5">
            <w:pPr>
              <w:spacing w:after="0" w:line="240" w:lineRule="auto"/>
              <w:rPr>
                <w:rFonts w:asciiTheme="minorHAnsi" w:hAnsiTheme="minorHAnsi" w:cstheme="minorHAnsi"/>
                <w:b/>
                <w:color w:val="3A3838"/>
                <w:sz w:val="18"/>
                <w:szCs w:val="18"/>
                <w:lang w:eastAsia="es-MX"/>
              </w:rPr>
            </w:pPr>
          </w:p>
        </w:tc>
        <w:tc>
          <w:tcPr>
            <w:tcW w:w="752" w:type="dxa"/>
            <w:shd w:val="clear" w:color="auto" w:fill="F2F2F2" w:themeFill="background1" w:themeFillShade="F2"/>
            <w:noWrap/>
            <w:vAlign w:val="center"/>
          </w:tcPr>
          <w:p w14:paraId="46B84043" w14:textId="0C2D3534" w:rsidR="00755BC5" w:rsidRPr="002150BE" w:rsidRDefault="00755BC5" w:rsidP="00755BC5">
            <w:pPr>
              <w:spacing w:after="0" w:line="240" w:lineRule="auto"/>
              <w:rPr>
                <w:rFonts w:asciiTheme="minorHAnsi" w:hAnsiTheme="minorHAnsi" w:cstheme="minorHAnsi"/>
                <w:color w:val="3A3838"/>
                <w:sz w:val="14"/>
                <w:szCs w:val="16"/>
                <w:lang w:eastAsia="es-MX"/>
              </w:rPr>
            </w:pPr>
            <w:r w:rsidRPr="002150BE">
              <w:rPr>
                <w:rFonts w:asciiTheme="minorHAnsi" w:hAnsiTheme="minorHAnsi" w:cstheme="minorHAnsi"/>
                <w:color w:val="3A3838"/>
                <w:sz w:val="14"/>
                <w:szCs w:val="16"/>
                <w:lang w:eastAsia="es-MX"/>
              </w:rPr>
              <w:t>Actividad 4.1</w:t>
            </w:r>
          </w:p>
        </w:tc>
        <w:tc>
          <w:tcPr>
            <w:tcW w:w="1134" w:type="dxa"/>
            <w:vAlign w:val="center"/>
          </w:tcPr>
          <w:p w14:paraId="258628FA" w14:textId="2D0D88C1"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Porcentaje de actualización del marco normativo interno.</w:t>
            </w:r>
          </w:p>
        </w:tc>
        <w:tc>
          <w:tcPr>
            <w:tcW w:w="1701" w:type="dxa"/>
            <w:gridSpan w:val="2"/>
            <w:vAlign w:val="center"/>
          </w:tcPr>
          <w:p w14:paraId="26DEC21C" w14:textId="77777777" w:rsidR="00755BC5" w:rsidRPr="002150BE" w:rsidRDefault="00755BC5" w:rsidP="00CE01DF">
            <w:pPr>
              <w:spacing w:after="0" w:line="240" w:lineRule="auto"/>
              <w:jc w:val="center"/>
              <w:rPr>
                <w:rFonts w:asciiTheme="minorHAnsi" w:hAnsiTheme="minorHAnsi" w:cstheme="minorHAnsi"/>
                <w:color w:val="000000"/>
                <w:sz w:val="14"/>
                <w:szCs w:val="14"/>
                <w:lang w:eastAsia="es-MX"/>
              </w:rPr>
            </w:pPr>
          </w:p>
        </w:tc>
        <w:tc>
          <w:tcPr>
            <w:tcW w:w="905" w:type="dxa"/>
            <w:gridSpan w:val="2"/>
            <w:vAlign w:val="center"/>
          </w:tcPr>
          <w:p w14:paraId="4AC963FE" w14:textId="77777777" w:rsidR="00755BC5" w:rsidRPr="002150BE" w:rsidRDefault="00755BC5" w:rsidP="00CE01DF">
            <w:pPr>
              <w:spacing w:after="0" w:line="240" w:lineRule="auto"/>
              <w:jc w:val="center"/>
              <w:rPr>
                <w:rFonts w:asciiTheme="minorHAnsi" w:hAnsiTheme="minorHAnsi" w:cstheme="minorHAnsi"/>
                <w:color w:val="000000"/>
                <w:sz w:val="14"/>
                <w:szCs w:val="14"/>
                <w:lang w:eastAsia="es-MX"/>
              </w:rPr>
            </w:pPr>
          </w:p>
        </w:tc>
        <w:tc>
          <w:tcPr>
            <w:tcW w:w="1153" w:type="dxa"/>
            <w:gridSpan w:val="4"/>
            <w:vAlign w:val="center"/>
          </w:tcPr>
          <w:p w14:paraId="2B0DED7A" w14:textId="56494848"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Porcentaje (%).</w:t>
            </w:r>
          </w:p>
        </w:tc>
        <w:tc>
          <w:tcPr>
            <w:tcW w:w="1486" w:type="dxa"/>
            <w:gridSpan w:val="3"/>
            <w:vAlign w:val="center"/>
          </w:tcPr>
          <w:p w14:paraId="505C31DE" w14:textId="01E52B24"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Trimestral / anual.</w:t>
            </w:r>
          </w:p>
        </w:tc>
        <w:tc>
          <w:tcPr>
            <w:tcW w:w="818" w:type="dxa"/>
            <w:gridSpan w:val="2"/>
            <w:vAlign w:val="center"/>
          </w:tcPr>
          <w:p w14:paraId="7BF1F599" w14:textId="40CD0389"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Valor 2023.</w:t>
            </w:r>
          </w:p>
        </w:tc>
        <w:tc>
          <w:tcPr>
            <w:tcW w:w="1153" w:type="dxa"/>
            <w:vAlign w:val="center"/>
          </w:tcPr>
          <w:p w14:paraId="0C67FAA0" w14:textId="5B488284"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Ascendente</w:t>
            </w:r>
          </w:p>
        </w:tc>
      </w:tr>
      <w:tr w:rsidR="00755BC5" w:rsidRPr="002150BE" w14:paraId="0CD3B2FA" w14:textId="77777777" w:rsidTr="00CE01DF">
        <w:trPr>
          <w:trHeight w:val="370"/>
        </w:trPr>
        <w:tc>
          <w:tcPr>
            <w:tcW w:w="529" w:type="dxa"/>
            <w:vMerge/>
            <w:shd w:val="clear" w:color="auto" w:fill="D9D9D9" w:themeFill="background1" w:themeFillShade="D9"/>
            <w:noWrap/>
            <w:vAlign w:val="center"/>
          </w:tcPr>
          <w:p w14:paraId="5E26279D" w14:textId="77777777" w:rsidR="00755BC5" w:rsidRPr="002150BE" w:rsidRDefault="00755BC5" w:rsidP="00755BC5">
            <w:pPr>
              <w:spacing w:after="0" w:line="240" w:lineRule="auto"/>
              <w:rPr>
                <w:rFonts w:asciiTheme="minorHAnsi" w:hAnsiTheme="minorHAnsi" w:cstheme="minorHAnsi"/>
                <w:b/>
                <w:color w:val="3A3838"/>
                <w:sz w:val="18"/>
                <w:szCs w:val="18"/>
                <w:lang w:eastAsia="es-MX"/>
              </w:rPr>
            </w:pPr>
          </w:p>
        </w:tc>
        <w:tc>
          <w:tcPr>
            <w:tcW w:w="752" w:type="dxa"/>
            <w:shd w:val="clear" w:color="auto" w:fill="F2F2F2" w:themeFill="background1" w:themeFillShade="F2"/>
            <w:noWrap/>
            <w:vAlign w:val="center"/>
          </w:tcPr>
          <w:p w14:paraId="78CA8EA5" w14:textId="0145F709" w:rsidR="00755BC5" w:rsidRPr="002150BE" w:rsidRDefault="00755BC5" w:rsidP="00755BC5">
            <w:pPr>
              <w:spacing w:after="0" w:line="240" w:lineRule="auto"/>
              <w:rPr>
                <w:rFonts w:asciiTheme="minorHAnsi" w:hAnsiTheme="minorHAnsi" w:cstheme="minorHAnsi"/>
                <w:color w:val="3A3838"/>
                <w:sz w:val="14"/>
                <w:szCs w:val="16"/>
                <w:lang w:eastAsia="es-MX"/>
              </w:rPr>
            </w:pPr>
            <w:r w:rsidRPr="002150BE">
              <w:rPr>
                <w:rFonts w:asciiTheme="minorHAnsi" w:hAnsiTheme="minorHAnsi" w:cstheme="minorHAnsi"/>
                <w:color w:val="3A3838"/>
                <w:sz w:val="14"/>
                <w:szCs w:val="16"/>
                <w:lang w:eastAsia="es-MX"/>
              </w:rPr>
              <w:t>Actividad 4.2</w:t>
            </w:r>
          </w:p>
        </w:tc>
        <w:tc>
          <w:tcPr>
            <w:tcW w:w="1134" w:type="dxa"/>
            <w:vAlign w:val="center"/>
          </w:tcPr>
          <w:p w14:paraId="0DCF3D44" w14:textId="564C2A5E"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Suficiencia de las plazas administrativas.</w:t>
            </w:r>
          </w:p>
        </w:tc>
        <w:tc>
          <w:tcPr>
            <w:tcW w:w="1701" w:type="dxa"/>
            <w:gridSpan w:val="2"/>
            <w:vAlign w:val="center"/>
          </w:tcPr>
          <w:p w14:paraId="626E0DC7" w14:textId="77777777" w:rsidR="00755BC5" w:rsidRPr="002150BE" w:rsidRDefault="00755BC5" w:rsidP="00CE01DF">
            <w:pPr>
              <w:spacing w:after="0" w:line="240" w:lineRule="auto"/>
              <w:jc w:val="center"/>
              <w:rPr>
                <w:rFonts w:asciiTheme="minorHAnsi" w:hAnsiTheme="minorHAnsi" w:cstheme="minorHAnsi"/>
                <w:color w:val="000000"/>
                <w:sz w:val="14"/>
                <w:szCs w:val="14"/>
                <w:lang w:eastAsia="es-MX"/>
              </w:rPr>
            </w:pPr>
          </w:p>
        </w:tc>
        <w:tc>
          <w:tcPr>
            <w:tcW w:w="905" w:type="dxa"/>
            <w:gridSpan w:val="2"/>
            <w:vAlign w:val="center"/>
          </w:tcPr>
          <w:p w14:paraId="33136E59" w14:textId="77777777" w:rsidR="00755BC5" w:rsidRPr="002150BE" w:rsidRDefault="00755BC5" w:rsidP="00CE01DF">
            <w:pPr>
              <w:spacing w:after="0" w:line="240" w:lineRule="auto"/>
              <w:jc w:val="center"/>
              <w:rPr>
                <w:rFonts w:asciiTheme="minorHAnsi" w:hAnsiTheme="minorHAnsi" w:cstheme="minorHAnsi"/>
                <w:color w:val="000000"/>
                <w:sz w:val="14"/>
                <w:szCs w:val="14"/>
                <w:lang w:eastAsia="es-MX"/>
              </w:rPr>
            </w:pPr>
          </w:p>
        </w:tc>
        <w:tc>
          <w:tcPr>
            <w:tcW w:w="1153" w:type="dxa"/>
            <w:gridSpan w:val="4"/>
            <w:vAlign w:val="center"/>
          </w:tcPr>
          <w:p w14:paraId="0B7D2B1F" w14:textId="3C9E086A"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Porcentaje (%).</w:t>
            </w:r>
          </w:p>
        </w:tc>
        <w:tc>
          <w:tcPr>
            <w:tcW w:w="1486" w:type="dxa"/>
            <w:gridSpan w:val="3"/>
            <w:vAlign w:val="center"/>
          </w:tcPr>
          <w:p w14:paraId="5BEBEF1F" w14:textId="64F00303"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Trimestral / anual.</w:t>
            </w:r>
          </w:p>
        </w:tc>
        <w:tc>
          <w:tcPr>
            <w:tcW w:w="818" w:type="dxa"/>
            <w:gridSpan w:val="2"/>
            <w:vAlign w:val="center"/>
          </w:tcPr>
          <w:p w14:paraId="05414E35" w14:textId="616E946A"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Valor 2023.</w:t>
            </w:r>
          </w:p>
        </w:tc>
        <w:tc>
          <w:tcPr>
            <w:tcW w:w="1153" w:type="dxa"/>
            <w:vAlign w:val="center"/>
          </w:tcPr>
          <w:p w14:paraId="356207D8" w14:textId="622F5FF7"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Ascendente</w:t>
            </w:r>
          </w:p>
        </w:tc>
      </w:tr>
      <w:tr w:rsidR="00755BC5" w:rsidRPr="002150BE" w14:paraId="5B0320E7" w14:textId="77777777" w:rsidTr="00CE01DF">
        <w:trPr>
          <w:trHeight w:val="370"/>
        </w:trPr>
        <w:tc>
          <w:tcPr>
            <w:tcW w:w="529" w:type="dxa"/>
            <w:vMerge/>
            <w:shd w:val="clear" w:color="auto" w:fill="D9D9D9" w:themeFill="background1" w:themeFillShade="D9"/>
            <w:noWrap/>
            <w:vAlign w:val="center"/>
          </w:tcPr>
          <w:p w14:paraId="301097E7" w14:textId="77777777" w:rsidR="00755BC5" w:rsidRPr="002150BE" w:rsidRDefault="00755BC5" w:rsidP="00755BC5">
            <w:pPr>
              <w:spacing w:after="0" w:line="240" w:lineRule="auto"/>
              <w:rPr>
                <w:rFonts w:asciiTheme="minorHAnsi" w:hAnsiTheme="minorHAnsi" w:cstheme="minorHAnsi"/>
                <w:b/>
                <w:color w:val="3A3838"/>
                <w:sz w:val="18"/>
                <w:szCs w:val="18"/>
                <w:lang w:eastAsia="es-MX"/>
              </w:rPr>
            </w:pPr>
          </w:p>
        </w:tc>
        <w:tc>
          <w:tcPr>
            <w:tcW w:w="752" w:type="dxa"/>
            <w:shd w:val="clear" w:color="auto" w:fill="F2F2F2" w:themeFill="background1" w:themeFillShade="F2"/>
            <w:noWrap/>
            <w:vAlign w:val="center"/>
          </w:tcPr>
          <w:p w14:paraId="07A03B9C" w14:textId="76A5587E" w:rsidR="00755BC5" w:rsidRPr="002150BE" w:rsidRDefault="00755BC5" w:rsidP="00755BC5">
            <w:pPr>
              <w:spacing w:after="0" w:line="240" w:lineRule="auto"/>
              <w:rPr>
                <w:rFonts w:asciiTheme="minorHAnsi" w:hAnsiTheme="minorHAnsi" w:cstheme="minorHAnsi"/>
                <w:color w:val="3A3838"/>
                <w:sz w:val="14"/>
                <w:szCs w:val="16"/>
                <w:lang w:eastAsia="es-MX"/>
              </w:rPr>
            </w:pPr>
            <w:r w:rsidRPr="002150BE">
              <w:rPr>
                <w:rFonts w:asciiTheme="minorHAnsi" w:hAnsiTheme="minorHAnsi" w:cstheme="minorHAnsi"/>
                <w:color w:val="3A3838"/>
                <w:sz w:val="14"/>
                <w:szCs w:val="16"/>
                <w:lang w:eastAsia="es-MX"/>
              </w:rPr>
              <w:t>Actividad 4.3</w:t>
            </w:r>
          </w:p>
        </w:tc>
        <w:tc>
          <w:tcPr>
            <w:tcW w:w="1134" w:type="dxa"/>
            <w:vAlign w:val="center"/>
          </w:tcPr>
          <w:p w14:paraId="291B761D" w14:textId="0AD139DE"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Tasa de variación de las aportaciones federales y estatales; Costo promedio por alumno.</w:t>
            </w:r>
          </w:p>
        </w:tc>
        <w:tc>
          <w:tcPr>
            <w:tcW w:w="1701" w:type="dxa"/>
            <w:gridSpan w:val="2"/>
            <w:vAlign w:val="center"/>
          </w:tcPr>
          <w:p w14:paraId="1D8EF0FB" w14:textId="77777777" w:rsidR="00755BC5" w:rsidRPr="002150BE" w:rsidRDefault="00755BC5" w:rsidP="00CE01DF">
            <w:pPr>
              <w:spacing w:after="0" w:line="240" w:lineRule="auto"/>
              <w:jc w:val="center"/>
              <w:rPr>
                <w:rFonts w:asciiTheme="minorHAnsi" w:hAnsiTheme="minorHAnsi" w:cstheme="minorHAnsi"/>
                <w:color w:val="000000"/>
                <w:sz w:val="14"/>
                <w:szCs w:val="14"/>
                <w:lang w:eastAsia="es-MX"/>
              </w:rPr>
            </w:pPr>
          </w:p>
        </w:tc>
        <w:tc>
          <w:tcPr>
            <w:tcW w:w="905" w:type="dxa"/>
            <w:gridSpan w:val="2"/>
            <w:vAlign w:val="center"/>
          </w:tcPr>
          <w:p w14:paraId="0FBF9ABD" w14:textId="77777777" w:rsidR="00755BC5" w:rsidRPr="002150BE" w:rsidRDefault="00755BC5" w:rsidP="00CE01DF">
            <w:pPr>
              <w:spacing w:after="0" w:line="240" w:lineRule="auto"/>
              <w:jc w:val="center"/>
              <w:rPr>
                <w:rFonts w:asciiTheme="minorHAnsi" w:hAnsiTheme="minorHAnsi" w:cstheme="minorHAnsi"/>
                <w:color w:val="000000"/>
                <w:sz w:val="14"/>
                <w:szCs w:val="14"/>
                <w:lang w:eastAsia="es-MX"/>
              </w:rPr>
            </w:pPr>
          </w:p>
        </w:tc>
        <w:tc>
          <w:tcPr>
            <w:tcW w:w="1153" w:type="dxa"/>
            <w:gridSpan w:val="4"/>
            <w:vAlign w:val="center"/>
          </w:tcPr>
          <w:p w14:paraId="449FF810" w14:textId="15B5ACE4"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Porcentaje (%).</w:t>
            </w:r>
          </w:p>
        </w:tc>
        <w:tc>
          <w:tcPr>
            <w:tcW w:w="1486" w:type="dxa"/>
            <w:gridSpan w:val="3"/>
            <w:vAlign w:val="center"/>
          </w:tcPr>
          <w:p w14:paraId="47FC4884" w14:textId="66B07C77"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Trimestral / anual.</w:t>
            </w:r>
          </w:p>
        </w:tc>
        <w:tc>
          <w:tcPr>
            <w:tcW w:w="818" w:type="dxa"/>
            <w:gridSpan w:val="2"/>
            <w:vAlign w:val="center"/>
          </w:tcPr>
          <w:p w14:paraId="3476CD77" w14:textId="6A409121"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Valor 2023.</w:t>
            </w:r>
          </w:p>
        </w:tc>
        <w:tc>
          <w:tcPr>
            <w:tcW w:w="1153" w:type="dxa"/>
            <w:vAlign w:val="center"/>
          </w:tcPr>
          <w:p w14:paraId="4CB51C15" w14:textId="4E817B65"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Ascendente</w:t>
            </w:r>
          </w:p>
        </w:tc>
      </w:tr>
      <w:tr w:rsidR="00755BC5" w:rsidRPr="002150BE" w14:paraId="3FC8FBE5" w14:textId="77777777" w:rsidTr="00CE01DF">
        <w:trPr>
          <w:trHeight w:val="370"/>
        </w:trPr>
        <w:tc>
          <w:tcPr>
            <w:tcW w:w="529" w:type="dxa"/>
            <w:vMerge/>
            <w:shd w:val="clear" w:color="auto" w:fill="D9D9D9" w:themeFill="background1" w:themeFillShade="D9"/>
            <w:noWrap/>
            <w:vAlign w:val="center"/>
          </w:tcPr>
          <w:p w14:paraId="39CBD8B5" w14:textId="77777777" w:rsidR="00755BC5" w:rsidRPr="002150BE" w:rsidRDefault="00755BC5" w:rsidP="00755BC5">
            <w:pPr>
              <w:spacing w:after="0" w:line="240" w:lineRule="auto"/>
              <w:rPr>
                <w:rFonts w:asciiTheme="minorHAnsi" w:hAnsiTheme="minorHAnsi" w:cstheme="minorHAnsi"/>
                <w:b/>
                <w:color w:val="3A3838"/>
                <w:sz w:val="18"/>
                <w:szCs w:val="18"/>
                <w:lang w:eastAsia="es-MX"/>
              </w:rPr>
            </w:pPr>
          </w:p>
        </w:tc>
        <w:tc>
          <w:tcPr>
            <w:tcW w:w="752" w:type="dxa"/>
            <w:shd w:val="clear" w:color="auto" w:fill="F2F2F2" w:themeFill="background1" w:themeFillShade="F2"/>
            <w:noWrap/>
            <w:vAlign w:val="center"/>
          </w:tcPr>
          <w:p w14:paraId="5C457CAE" w14:textId="2D53DF64" w:rsidR="00755BC5" w:rsidRPr="002150BE" w:rsidRDefault="00755BC5" w:rsidP="00755BC5">
            <w:pPr>
              <w:spacing w:after="0" w:line="240" w:lineRule="auto"/>
              <w:rPr>
                <w:rFonts w:asciiTheme="minorHAnsi" w:hAnsiTheme="minorHAnsi" w:cstheme="minorHAnsi"/>
                <w:color w:val="3A3838"/>
                <w:sz w:val="14"/>
                <w:szCs w:val="16"/>
                <w:lang w:eastAsia="es-MX"/>
              </w:rPr>
            </w:pPr>
            <w:r w:rsidRPr="002150BE">
              <w:rPr>
                <w:rFonts w:asciiTheme="minorHAnsi" w:hAnsiTheme="minorHAnsi" w:cstheme="minorHAnsi"/>
                <w:color w:val="3A3838"/>
                <w:sz w:val="14"/>
                <w:szCs w:val="16"/>
                <w:lang w:eastAsia="es-MX"/>
              </w:rPr>
              <w:t>Actividad 4.4</w:t>
            </w:r>
          </w:p>
        </w:tc>
        <w:tc>
          <w:tcPr>
            <w:tcW w:w="1134" w:type="dxa"/>
            <w:vAlign w:val="center"/>
          </w:tcPr>
          <w:p w14:paraId="70CD12BF" w14:textId="6C4D99EC"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Porcentaje de regularización de predios.</w:t>
            </w:r>
          </w:p>
        </w:tc>
        <w:tc>
          <w:tcPr>
            <w:tcW w:w="1701" w:type="dxa"/>
            <w:gridSpan w:val="2"/>
            <w:vAlign w:val="center"/>
          </w:tcPr>
          <w:p w14:paraId="06552D0A" w14:textId="77777777" w:rsidR="00755BC5" w:rsidRPr="002150BE" w:rsidRDefault="00755BC5" w:rsidP="00CE01DF">
            <w:pPr>
              <w:spacing w:after="0" w:line="240" w:lineRule="auto"/>
              <w:jc w:val="center"/>
              <w:rPr>
                <w:rFonts w:asciiTheme="minorHAnsi" w:hAnsiTheme="minorHAnsi" w:cstheme="minorHAnsi"/>
                <w:color w:val="000000"/>
                <w:sz w:val="14"/>
                <w:szCs w:val="14"/>
                <w:lang w:eastAsia="es-MX"/>
              </w:rPr>
            </w:pPr>
          </w:p>
        </w:tc>
        <w:tc>
          <w:tcPr>
            <w:tcW w:w="905" w:type="dxa"/>
            <w:gridSpan w:val="2"/>
            <w:vAlign w:val="center"/>
          </w:tcPr>
          <w:p w14:paraId="0CAD91A8" w14:textId="77777777" w:rsidR="00755BC5" w:rsidRPr="002150BE" w:rsidRDefault="00755BC5" w:rsidP="00CE01DF">
            <w:pPr>
              <w:spacing w:after="0" w:line="240" w:lineRule="auto"/>
              <w:jc w:val="center"/>
              <w:rPr>
                <w:rFonts w:asciiTheme="minorHAnsi" w:hAnsiTheme="minorHAnsi" w:cstheme="minorHAnsi"/>
                <w:color w:val="000000"/>
                <w:sz w:val="14"/>
                <w:szCs w:val="14"/>
                <w:lang w:eastAsia="es-MX"/>
              </w:rPr>
            </w:pPr>
          </w:p>
        </w:tc>
        <w:tc>
          <w:tcPr>
            <w:tcW w:w="1153" w:type="dxa"/>
            <w:gridSpan w:val="4"/>
            <w:vAlign w:val="center"/>
          </w:tcPr>
          <w:p w14:paraId="79B99645" w14:textId="54878C7E"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Porcentaje (%).</w:t>
            </w:r>
          </w:p>
        </w:tc>
        <w:tc>
          <w:tcPr>
            <w:tcW w:w="1486" w:type="dxa"/>
            <w:gridSpan w:val="3"/>
            <w:vAlign w:val="center"/>
          </w:tcPr>
          <w:p w14:paraId="5FC6D6C4" w14:textId="73F8039F"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Trimestral / anual.</w:t>
            </w:r>
          </w:p>
        </w:tc>
        <w:tc>
          <w:tcPr>
            <w:tcW w:w="818" w:type="dxa"/>
            <w:gridSpan w:val="2"/>
            <w:vAlign w:val="center"/>
          </w:tcPr>
          <w:p w14:paraId="6A2A0739" w14:textId="16FED589"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Valor 2023.</w:t>
            </w:r>
          </w:p>
        </w:tc>
        <w:tc>
          <w:tcPr>
            <w:tcW w:w="1153" w:type="dxa"/>
            <w:vAlign w:val="center"/>
          </w:tcPr>
          <w:p w14:paraId="696416BB" w14:textId="024B24C1"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Ascendente</w:t>
            </w:r>
          </w:p>
        </w:tc>
      </w:tr>
      <w:tr w:rsidR="00755BC5" w:rsidRPr="002150BE" w14:paraId="157A477A" w14:textId="77777777" w:rsidTr="00CE01DF">
        <w:trPr>
          <w:trHeight w:val="370"/>
        </w:trPr>
        <w:tc>
          <w:tcPr>
            <w:tcW w:w="529" w:type="dxa"/>
            <w:vMerge/>
            <w:shd w:val="clear" w:color="auto" w:fill="D9D9D9" w:themeFill="background1" w:themeFillShade="D9"/>
            <w:noWrap/>
            <w:vAlign w:val="center"/>
          </w:tcPr>
          <w:p w14:paraId="76BAF783" w14:textId="77777777" w:rsidR="00755BC5" w:rsidRPr="002150BE" w:rsidRDefault="00755BC5" w:rsidP="00755BC5">
            <w:pPr>
              <w:spacing w:after="0" w:line="240" w:lineRule="auto"/>
              <w:rPr>
                <w:rFonts w:asciiTheme="minorHAnsi" w:hAnsiTheme="minorHAnsi" w:cstheme="minorHAnsi"/>
                <w:b/>
                <w:color w:val="3A3838"/>
                <w:sz w:val="18"/>
                <w:szCs w:val="18"/>
                <w:lang w:eastAsia="es-MX"/>
              </w:rPr>
            </w:pPr>
          </w:p>
        </w:tc>
        <w:tc>
          <w:tcPr>
            <w:tcW w:w="752" w:type="dxa"/>
            <w:shd w:val="clear" w:color="auto" w:fill="F2F2F2" w:themeFill="background1" w:themeFillShade="F2"/>
            <w:noWrap/>
            <w:vAlign w:val="center"/>
          </w:tcPr>
          <w:p w14:paraId="7DB66482" w14:textId="461B3E8B" w:rsidR="00755BC5" w:rsidRPr="002150BE" w:rsidRDefault="00755BC5" w:rsidP="00755BC5">
            <w:pPr>
              <w:spacing w:after="0" w:line="240" w:lineRule="auto"/>
              <w:rPr>
                <w:rFonts w:asciiTheme="minorHAnsi" w:hAnsiTheme="minorHAnsi" w:cstheme="minorHAnsi"/>
                <w:color w:val="3A3838"/>
                <w:sz w:val="14"/>
                <w:szCs w:val="16"/>
                <w:lang w:eastAsia="es-MX"/>
              </w:rPr>
            </w:pPr>
          </w:p>
        </w:tc>
        <w:tc>
          <w:tcPr>
            <w:tcW w:w="1134" w:type="dxa"/>
            <w:vAlign w:val="center"/>
          </w:tcPr>
          <w:p w14:paraId="593ABC3F" w14:textId="77777777" w:rsidR="00755BC5" w:rsidRPr="002150BE" w:rsidRDefault="00755BC5" w:rsidP="00CE01DF">
            <w:pPr>
              <w:spacing w:after="0" w:line="240" w:lineRule="auto"/>
              <w:jc w:val="center"/>
              <w:rPr>
                <w:rFonts w:asciiTheme="minorHAnsi" w:hAnsiTheme="minorHAnsi" w:cstheme="minorHAnsi"/>
                <w:color w:val="000000"/>
                <w:sz w:val="14"/>
                <w:szCs w:val="14"/>
                <w:lang w:eastAsia="es-MX"/>
              </w:rPr>
            </w:pPr>
          </w:p>
        </w:tc>
        <w:tc>
          <w:tcPr>
            <w:tcW w:w="1701" w:type="dxa"/>
            <w:gridSpan w:val="2"/>
            <w:vAlign w:val="center"/>
          </w:tcPr>
          <w:p w14:paraId="3D54A1D1" w14:textId="77777777" w:rsidR="00755BC5" w:rsidRPr="002150BE" w:rsidRDefault="00755BC5" w:rsidP="00CE01DF">
            <w:pPr>
              <w:spacing w:after="0" w:line="240" w:lineRule="auto"/>
              <w:jc w:val="center"/>
              <w:rPr>
                <w:rFonts w:asciiTheme="minorHAnsi" w:hAnsiTheme="minorHAnsi" w:cstheme="minorHAnsi"/>
                <w:color w:val="000000"/>
                <w:sz w:val="14"/>
                <w:szCs w:val="14"/>
                <w:lang w:eastAsia="es-MX"/>
              </w:rPr>
            </w:pPr>
          </w:p>
        </w:tc>
        <w:tc>
          <w:tcPr>
            <w:tcW w:w="905" w:type="dxa"/>
            <w:gridSpan w:val="2"/>
            <w:vAlign w:val="center"/>
          </w:tcPr>
          <w:p w14:paraId="72D09C19" w14:textId="77777777" w:rsidR="00755BC5" w:rsidRPr="002150BE" w:rsidRDefault="00755BC5" w:rsidP="00CE01DF">
            <w:pPr>
              <w:spacing w:after="0" w:line="240" w:lineRule="auto"/>
              <w:jc w:val="center"/>
              <w:rPr>
                <w:rFonts w:asciiTheme="minorHAnsi" w:hAnsiTheme="minorHAnsi" w:cstheme="minorHAnsi"/>
                <w:color w:val="000000"/>
                <w:sz w:val="14"/>
                <w:szCs w:val="14"/>
                <w:lang w:eastAsia="es-MX"/>
              </w:rPr>
            </w:pPr>
          </w:p>
        </w:tc>
        <w:tc>
          <w:tcPr>
            <w:tcW w:w="1153" w:type="dxa"/>
            <w:gridSpan w:val="4"/>
            <w:vAlign w:val="center"/>
          </w:tcPr>
          <w:p w14:paraId="48016EBB" w14:textId="690A2ADD" w:rsidR="00755BC5" w:rsidRPr="002150BE" w:rsidRDefault="00755BC5" w:rsidP="00CE01DF">
            <w:pPr>
              <w:spacing w:after="0" w:line="240" w:lineRule="auto"/>
              <w:jc w:val="center"/>
              <w:rPr>
                <w:rFonts w:asciiTheme="minorHAnsi" w:hAnsiTheme="minorHAnsi" w:cstheme="minorHAnsi"/>
                <w:color w:val="000000"/>
                <w:sz w:val="14"/>
                <w:szCs w:val="14"/>
                <w:lang w:eastAsia="es-MX"/>
              </w:rPr>
            </w:pPr>
          </w:p>
        </w:tc>
        <w:tc>
          <w:tcPr>
            <w:tcW w:w="1486" w:type="dxa"/>
            <w:gridSpan w:val="3"/>
            <w:vAlign w:val="center"/>
          </w:tcPr>
          <w:p w14:paraId="7A01DB50" w14:textId="0E2CD593" w:rsidR="00755BC5" w:rsidRPr="002150BE" w:rsidRDefault="00755BC5" w:rsidP="00CE01DF">
            <w:pPr>
              <w:spacing w:after="0" w:line="240" w:lineRule="auto"/>
              <w:jc w:val="center"/>
              <w:rPr>
                <w:rFonts w:asciiTheme="minorHAnsi" w:hAnsiTheme="minorHAnsi" w:cstheme="minorHAnsi"/>
                <w:color w:val="000000"/>
                <w:sz w:val="14"/>
                <w:szCs w:val="14"/>
                <w:lang w:eastAsia="es-MX"/>
              </w:rPr>
            </w:pPr>
          </w:p>
        </w:tc>
        <w:tc>
          <w:tcPr>
            <w:tcW w:w="818" w:type="dxa"/>
            <w:gridSpan w:val="2"/>
            <w:vAlign w:val="center"/>
          </w:tcPr>
          <w:p w14:paraId="34479508" w14:textId="78BD387C" w:rsidR="00755BC5" w:rsidRPr="002150BE" w:rsidRDefault="00755BC5" w:rsidP="00CE01DF">
            <w:pPr>
              <w:spacing w:after="0" w:line="240" w:lineRule="auto"/>
              <w:jc w:val="center"/>
              <w:rPr>
                <w:rFonts w:asciiTheme="minorHAnsi" w:hAnsiTheme="minorHAnsi" w:cstheme="minorHAnsi"/>
                <w:color w:val="000000"/>
                <w:sz w:val="14"/>
                <w:szCs w:val="14"/>
                <w:lang w:eastAsia="es-MX"/>
              </w:rPr>
            </w:pPr>
          </w:p>
        </w:tc>
        <w:tc>
          <w:tcPr>
            <w:tcW w:w="1153" w:type="dxa"/>
            <w:vAlign w:val="center"/>
          </w:tcPr>
          <w:p w14:paraId="392D2F3F" w14:textId="7E7C11A1" w:rsidR="00755BC5" w:rsidRPr="002150BE" w:rsidRDefault="00755BC5" w:rsidP="00CE01DF">
            <w:pPr>
              <w:spacing w:after="0" w:line="240" w:lineRule="auto"/>
              <w:jc w:val="center"/>
              <w:rPr>
                <w:rFonts w:asciiTheme="minorHAnsi" w:hAnsiTheme="minorHAnsi" w:cstheme="minorHAnsi"/>
                <w:color w:val="000000"/>
                <w:sz w:val="14"/>
                <w:szCs w:val="14"/>
                <w:lang w:eastAsia="es-MX"/>
              </w:rPr>
            </w:pPr>
          </w:p>
        </w:tc>
      </w:tr>
      <w:tr w:rsidR="00755BC5" w:rsidRPr="002150BE" w14:paraId="0A2A4E40" w14:textId="77777777" w:rsidTr="00CE01DF">
        <w:trPr>
          <w:trHeight w:val="370"/>
        </w:trPr>
        <w:tc>
          <w:tcPr>
            <w:tcW w:w="529" w:type="dxa"/>
            <w:vMerge w:val="restart"/>
            <w:shd w:val="clear" w:color="auto" w:fill="D9D9D9" w:themeFill="background1" w:themeFillShade="D9"/>
            <w:noWrap/>
            <w:vAlign w:val="center"/>
          </w:tcPr>
          <w:p w14:paraId="3B460C4B" w14:textId="77777777" w:rsidR="00755BC5" w:rsidRPr="002150BE" w:rsidRDefault="00755BC5" w:rsidP="00755BC5">
            <w:pPr>
              <w:spacing w:after="0" w:line="240" w:lineRule="auto"/>
              <w:jc w:val="center"/>
              <w:rPr>
                <w:rFonts w:asciiTheme="minorHAnsi" w:hAnsiTheme="minorHAnsi" w:cstheme="minorHAnsi"/>
                <w:b/>
                <w:color w:val="3A3838"/>
                <w:sz w:val="18"/>
                <w:szCs w:val="18"/>
                <w:lang w:eastAsia="es-MX"/>
              </w:rPr>
            </w:pPr>
            <w:r w:rsidRPr="002150BE">
              <w:rPr>
                <w:rFonts w:asciiTheme="minorHAnsi" w:hAnsiTheme="minorHAnsi" w:cstheme="minorHAnsi"/>
                <w:b/>
                <w:color w:val="3A3838"/>
                <w:sz w:val="18"/>
                <w:szCs w:val="18"/>
                <w:lang w:eastAsia="es-MX"/>
              </w:rPr>
              <w:t>FID</w:t>
            </w:r>
          </w:p>
        </w:tc>
        <w:tc>
          <w:tcPr>
            <w:tcW w:w="752" w:type="dxa"/>
            <w:shd w:val="clear" w:color="auto" w:fill="F2F2F2" w:themeFill="background1" w:themeFillShade="F2"/>
            <w:noWrap/>
            <w:vAlign w:val="center"/>
          </w:tcPr>
          <w:p w14:paraId="09526CCB" w14:textId="77777777" w:rsidR="00755BC5" w:rsidRPr="002150BE" w:rsidRDefault="00755BC5" w:rsidP="00755BC5">
            <w:pPr>
              <w:spacing w:after="0" w:line="240" w:lineRule="auto"/>
              <w:rPr>
                <w:rFonts w:asciiTheme="minorHAnsi" w:hAnsiTheme="minorHAnsi" w:cstheme="minorHAnsi"/>
                <w:color w:val="3A3838"/>
                <w:sz w:val="14"/>
                <w:szCs w:val="18"/>
                <w:lang w:eastAsia="es-MX"/>
              </w:rPr>
            </w:pPr>
            <w:r w:rsidRPr="002150BE">
              <w:rPr>
                <w:rFonts w:asciiTheme="minorHAnsi" w:hAnsiTheme="minorHAnsi" w:cstheme="minorHAnsi"/>
                <w:color w:val="3A3838"/>
                <w:sz w:val="14"/>
                <w:szCs w:val="18"/>
                <w:lang w:eastAsia="es-MX"/>
              </w:rPr>
              <w:t>Indicador FID Estratégico</w:t>
            </w:r>
          </w:p>
        </w:tc>
        <w:tc>
          <w:tcPr>
            <w:tcW w:w="1134" w:type="dxa"/>
            <w:vAlign w:val="center"/>
          </w:tcPr>
          <w:p w14:paraId="3A246F87" w14:textId="66B1997F"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Porcentaje de matrícula de educación superior que logra la UTC.</w:t>
            </w:r>
          </w:p>
        </w:tc>
        <w:tc>
          <w:tcPr>
            <w:tcW w:w="1701" w:type="dxa"/>
            <w:gridSpan w:val="2"/>
            <w:vAlign w:val="center"/>
          </w:tcPr>
          <w:p w14:paraId="22D76855" w14:textId="7159D870"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sz w:val="14"/>
                <w:szCs w:val="14"/>
              </w:rPr>
              <w:t>Proporción de la matrícula de la UTC respecto al total de matrícula de educación superior en Sinaloa.</w:t>
            </w:r>
          </w:p>
        </w:tc>
        <w:tc>
          <w:tcPr>
            <w:tcW w:w="905" w:type="dxa"/>
            <w:gridSpan w:val="2"/>
            <w:vAlign w:val="center"/>
          </w:tcPr>
          <w:p w14:paraId="3CCA59FF" w14:textId="1ED12B17"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sz w:val="14"/>
                <w:szCs w:val="14"/>
              </w:rPr>
              <w:t>(Matrícula de la UTC / Matrícula total de educación superior en Sinaloa) * 100.</w:t>
            </w:r>
          </w:p>
        </w:tc>
        <w:tc>
          <w:tcPr>
            <w:tcW w:w="1153" w:type="dxa"/>
            <w:gridSpan w:val="4"/>
            <w:vAlign w:val="center"/>
          </w:tcPr>
          <w:p w14:paraId="39EB72AA" w14:textId="596EC222"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sz w:val="14"/>
                <w:szCs w:val="14"/>
              </w:rPr>
              <w:t>Porcentaje (%).</w:t>
            </w:r>
          </w:p>
        </w:tc>
        <w:tc>
          <w:tcPr>
            <w:tcW w:w="1486" w:type="dxa"/>
            <w:gridSpan w:val="3"/>
            <w:vAlign w:val="center"/>
          </w:tcPr>
          <w:p w14:paraId="189AB43C" w14:textId="091A75B6" w:rsidR="00755BC5" w:rsidRPr="002150BE" w:rsidRDefault="00755BC5" w:rsidP="00CE01DF">
            <w:pPr>
              <w:spacing w:after="0" w:line="240" w:lineRule="auto"/>
              <w:jc w:val="center"/>
              <w:rPr>
                <w:rFonts w:asciiTheme="minorHAnsi" w:hAnsiTheme="minorHAnsi" w:cstheme="minorHAnsi"/>
                <w:color w:val="000000"/>
                <w:sz w:val="14"/>
                <w:szCs w:val="14"/>
                <w:lang w:val="pt-PT" w:eastAsia="es-MX"/>
              </w:rPr>
            </w:pPr>
            <w:r w:rsidRPr="002150BE">
              <w:rPr>
                <w:rFonts w:asciiTheme="minorHAnsi" w:hAnsiTheme="minorHAnsi" w:cstheme="minorHAnsi"/>
                <w:sz w:val="14"/>
                <w:szCs w:val="14"/>
                <w:lang w:val="pt-PT"/>
              </w:rPr>
              <w:t>Anual (con corte por ciclo escolar).</w:t>
            </w:r>
          </w:p>
        </w:tc>
        <w:tc>
          <w:tcPr>
            <w:tcW w:w="818" w:type="dxa"/>
            <w:gridSpan w:val="2"/>
            <w:vAlign w:val="center"/>
          </w:tcPr>
          <w:p w14:paraId="0201186C" w14:textId="5722750C"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sz w:val="14"/>
                <w:szCs w:val="14"/>
              </w:rPr>
              <w:t>Porcentaje 2023.</w:t>
            </w:r>
          </w:p>
        </w:tc>
        <w:tc>
          <w:tcPr>
            <w:tcW w:w="1153" w:type="dxa"/>
            <w:vAlign w:val="center"/>
          </w:tcPr>
          <w:p w14:paraId="7F12AAAB" w14:textId="5FF13476"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sz w:val="14"/>
                <w:szCs w:val="14"/>
              </w:rPr>
              <w:t>Ascendente</w:t>
            </w:r>
          </w:p>
        </w:tc>
      </w:tr>
      <w:tr w:rsidR="00755BC5" w:rsidRPr="002150BE" w14:paraId="7077702F" w14:textId="77777777" w:rsidTr="00CE01DF">
        <w:trPr>
          <w:trHeight w:val="370"/>
        </w:trPr>
        <w:tc>
          <w:tcPr>
            <w:tcW w:w="529" w:type="dxa"/>
            <w:vMerge/>
            <w:shd w:val="clear" w:color="auto" w:fill="D9D9D9" w:themeFill="background1" w:themeFillShade="D9"/>
            <w:noWrap/>
            <w:vAlign w:val="center"/>
          </w:tcPr>
          <w:p w14:paraId="1408957D" w14:textId="77777777" w:rsidR="00755BC5" w:rsidRPr="002150BE" w:rsidRDefault="00755BC5" w:rsidP="00755BC5">
            <w:pPr>
              <w:spacing w:after="0" w:line="240" w:lineRule="auto"/>
              <w:rPr>
                <w:rFonts w:asciiTheme="minorHAnsi" w:hAnsiTheme="minorHAnsi" w:cstheme="minorHAnsi"/>
                <w:color w:val="3A3838"/>
                <w:sz w:val="18"/>
                <w:szCs w:val="18"/>
                <w:lang w:eastAsia="es-MX"/>
              </w:rPr>
            </w:pPr>
          </w:p>
        </w:tc>
        <w:tc>
          <w:tcPr>
            <w:tcW w:w="752" w:type="dxa"/>
            <w:shd w:val="clear" w:color="auto" w:fill="F2F2F2" w:themeFill="background1" w:themeFillShade="F2"/>
            <w:noWrap/>
            <w:vAlign w:val="center"/>
          </w:tcPr>
          <w:p w14:paraId="285BA4A5" w14:textId="77777777" w:rsidR="00755BC5" w:rsidRPr="002150BE" w:rsidRDefault="00755BC5" w:rsidP="00755BC5">
            <w:pPr>
              <w:spacing w:after="0" w:line="240" w:lineRule="auto"/>
              <w:rPr>
                <w:rFonts w:asciiTheme="minorHAnsi" w:hAnsiTheme="minorHAnsi" w:cstheme="minorHAnsi"/>
                <w:color w:val="3A3838"/>
                <w:sz w:val="14"/>
                <w:szCs w:val="18"/>
                <w:lang w:eastAsia="es-MX"/>
              </w:rPr>
            </w:pPr>
            <w:r w:rsidRPr="002150BE">
              <w:rPr>
                <w:rFonts w:asciiTheme="minorHAnsi" w:hAnsiTheme="minorHAnsi" w:cstheme="minorHAnsi"/>
                <w:color w:val="3A3838"/>
                <w:sz w:val="14"/>
                <w:szCs w:val="18"/>
                <w:lang w:eastAsia="es-MX"/>
              </w:rPr>
              <w:t>Indicador FID Gestión</w:t>
            </w:r>
          </w:p>
        </w:tc>
        <w:tc>
          <w:tcPr>
            <w:tcW w:w="1134" w:type="dxa"/>
            <w:vAlign w:val="center"/>
          </w:tcPr>
          <w:p w14:paraId="5EC80550" w14:textId="1A1C8820"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Tasa de variación de las aportaciones federales y estatales asignadas a la Universidad.</w:t>
            </w:r>
          </w:p>
        </w:tc>
        <w:tc>
          <w:tcPr>
            <w:tcW w:w="1701" w:type="dxa"/>
            <w:gridSpan w:val="2"/>
            <w:vAlign w:val="center"/>
          </w:tcPr>
          <w:p w14:paraId="3A80B0D2" w14:textId="70C61A4B"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Cambio porcentual de las aportaciones federales y estatales recibidas por la UTC entre un ejercicio fiscal y el anterior.</w:t>
            </w:r>
          </w:p>
        </w:tc>
        <w:tc>
          <w:tcPr>
            <w:tcW w:w="905" w:type="dxa"/>
            <w:gridSpan w:val="2"/>
            <w:vAlign w:val="center"/>
          </w:tcPr>
          <w:p w14:paraId="760C2B32" w14:textId="081F6BCD"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(Aportaciones federales y estatales del año t – aportaciones del año t-1) / aportaciones del año t-1 * 100.</w:t>
            </w:r>
          </w:p>
        </w:tc>
        <w:tc>
          <w:tcPr>
            <w:tcW w:w="1153" w:type="dxa"/>
            <w:gridSpan w:val="4"/>
            <w:vAlign w:val="center"/>
          </w:tcPr>
          <w:p w14:paraId="4BE2253C" w14:textId="766B5DFD"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Porcentaje (%).</w:t>
            </w:r>
          </w:p>
        </w:tc>
        <w:tc>
          <w:tcPr>
            <w:tcW w:w="1486" w:type="dxa"/>
            <w:gridSpan w:val="3"/>
            <w:vAlign w:val="center"/>
          </w:tcPr>
          <w:p w14:paraId="3DBB433E" w14:textId="7E00CB40"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Anual</w:t>
            </w:r>
          </w:p>
        </w:tc>
        <w:tc>
          <w:tcPr>
            <w:tcW w:w="818" w:type="dxa"/>
            <w:gridSpan w:val="2"/>
            <w:vAlign w:val="center"/>
          </w:tcPr>
          <w:p w14:paraId="540F7032" w14:textId="67AB9B34"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Variación 2023 vs 2022 (para efectos históricos) y variación 2024 vs 2023 como referencia principal del periodo evaluado.</w:t>
            </w:r>
          </w:p>
        </w:tc>
        <w:tc>
          <w:tcPr>
            <w:tcW w:w="1153" w:type="dxa"/>
            <w:vAlign w:val="center"/>
          </w:tcPr>
          <w:p w14:paraId="6F5023B9" w14:textId="6700767C" w:rsidR="00755BC5" w:rsidRPr="002150BE" w:rsidRDefault="00755BC5" w:rsidP="00CE01DF">
            <w:pPr>
              <w:spacing w:after="0" w:line="240" w:lineRule="auto"/>
              <w:jc w:val="center"/>
              <w:rPr>
                <w:rFonts w:asciiTheme="minorHAnsi" w:hAnsiTheme="minorHAnsi" w:cstheme="minorHAnsi"/>
                <w:color w:val="000000"/>
                <w:sz w:val="14"/>
                <w:szCs w:val="14"/>
                <w:lang w:eastAsia="es-MX"/>
              </w:rPr>
            </w:pPr>
            <w:r w:rsidRPr="002150BE">
              <w:rPr>
                <w:rFonts w:asciiTheme="minorHAnsi" w:hAnsiTheme="minorHAnsi" w:cstheme="minorHAnsi"/>
                <w:color w:val="000000"/>
                <w:sz w:val="14"/>
                <w:szCs w:val="14"/>
                <w:lang w:eastAsia="es-MX"/>
              </w:rPr>
              <w:t>Ascendente (se busca crecimiento real no negativo).</w:t>
            </w:r>
          </w:p>
        </w:tc>
      </w:tr>
    </w:tbl>
    <w:p w14:paraId="31179E35" w14:textId="77777777" w:rsidR="007E1E04" w:rsidRPr="002150BE" w:rsidRDefault="007E1E04" w:rsidP="007E1E04">
      <w:pPr>
        <w:rPr>
          <w:rFonts w:asciiTheme="minorHAnsi" w:hAnsiTheme="minorHAnsi" w:cstheme="minorHAnsi"/>
          <w:lang w:val="es-ES"/>
        </w:rPr>
      </w:pPr>
    </w:p>
    <w:p w14:paraId="721D16B7" w14:textId="77777777" w:rsidR="007E1E04" w:rsidRPr="002150BE" w:rsidRDefault="007E1E04">
      <w:pPr>
        <w:spacing w:line="276" w:lineRule="auto"/>
        <w:jc w:val="left"/>
        <w:rPr>
          <w:rFonts w:asciiTheme="minorHAnsi" w:hAnsiTheme="minorHAnsi" w:cstheme="minorHAnsi"/>
          <w:lang w:val="es-ES"/>
        </w:rPr>
      </w:pPr>
      <w:r w:rsidRPr="002150BE">
        <w:rPr>
          <w:rFonts w:asciiTheme="minorHAnsi" w:hAnsiTheme="minorHAnsi" w:cstheme="minorHAnsi"/>
          <w:lang w:val="es-ES"/>
        </w:rPr>
        <w:br w:type="page"/>
      </w:r>
    </w:p>
    <w:tbl>
      <w:tblPr>
        <w:tblW w:w="90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9039"/>
      </w:tblGrid>
      <w:tr w:rsidR="007E1E04" w:rsidRPr="002150BE" w14:paraId="7415375A" w14:textId="77777777" w:rsidTr="00A8251B">
        <w:trPr>
          <w:trHeight w:val="397"/>
        </w:trPr>
        <w:tc>
          <w:tcPr>
            <w:tcW w:w="9039" w:type="dxa"/>
            <w:shd w:val="clear" w:color="auto" w:fill="404040" w:themeFill="text1" w:themeFillTint="BF"/>
            <w:vAlign w:val="center"/>
            <w:hideMark/>
          </w:tcPr>
          <w:p w14:paraId="60FD64E9" w14:textId="77777777" w:rsidR="007E1E04" w:rsidRPr="002150BE" w:rsidRDefault="0040360B" w:rsidP="007E1E04">
            <w:pPr>
              <w:spacing w:after="0" w:line="240" w:lineRule="auto"/>
              <w:jc w:val="center"/>
              <w:rPr>
                <w:rFonts w:asciiTheme="minorHAnsi" w:eastAsia="Times New Roman" w:hAnsiTheme="minorHAnsi" w:cstheme="minorHAnsi"/>
                <w:b/>
                <w:bCs/>
                <w:color w:val="FFFFFF" w:themeColor="background1"/>
                <w:lang w:eastAsia="es-MX"/>
              </w:rPr>
            </w:pPr>
            <w:r w:rsidRPr="002150BE">
              <w:rPr>
                <w:rFonts w:asciiTheme="minorHAnsi" w:eastAsia="Times New Roman" w:hAnsiTheme="minorHAnsi" w:cstheme="minorHAnsi"/>
                <w:b/>
                <w:bCs/>
                <w:color w:val="FFFFFF" w:themeColor="background1"/>
                <w:lang w:eastAsia="es-MX"/>
              </w:rPr>
              <w:lastRenderedPageBreak/>
              <w:t>Anexo 12</w:t>
            </w:r>
            <w:r w:rsidR="007E1E04" w:rsidRPr="002150BE">
              <w:rPr>
                <w:rFonts w:asciiTheme="minorHAnsi" w:eastAsia="Times New Roman" w:hAnsiTheme="minorHAnsi" w:cstheme="minorHAnsi"/>
                <w:b/>
                <w:bCs/>
                <w:color w:val="FFFFFF" w:themeColor="background1"/>
                <w:lang w:eastAsia="es-MX"/>
              </w:rPr>
              <w:t>. Fuentes de información de la evaluación</w:t>
            </w:r>
          </w:p>
        </w:tc>
      </w:tr>
      <w:tr w:rsidR="007E1E04" w:rsidRPr="002150BE" w14:paraId="374EBD56" w14:textId="77777777" w:rsidTr="00A8251B">
        <w:trPr>
          <w:trHeight w:val="243"/>
        </w:trPr>
        <w:tc>
          <w:tcPr>
            <w:tcW w:w="9039" w:type="dxa"/>
            <w:shd w:val="clear" w:color="auto" w:fill="7F7F7F" w:themeFill="text1" w:themeFillTint="80"/>
            <w:noWrap/>
            <w:vAlign w:val="center"/>
            <w:hideMark/>
          </w:tcPr>
          <w:p w14:paraId="6CF9696F" w14:textId="77777777" w:rsidR="007E1E04" w:rsidRPr="002150BE" w:rsidRDefault="007E1E04" w:rsidP="007E1E04">
            <w:pPr>
              <w:spacing w:after="0" w:line="240" w:lineRule="auto"/>
              <w:jc w:val="center"/>
              <w:rPr>
                <w:rFonts w:asciiTheme="minorHAnsi" w:eastAsia="Times New Roman" w:hAnsiTheme="minorHAnsi" w:cstheme="minorHAnsi"/>
                <w:b/>
                <w:bCs/>
                <w:color w:val="FFFFFF"/>
                <w:szCs w:val="20"/>
                <w:lang w:eastAsia="es-MX"/>
              </w:rPr>
            </w:pPr>
            <w:r w:rsidRPr="002150BE">
              <w:rPr>
                <w:rFonts w:asciiTheme="minorHAnsi" w:eastAsia="Times New Roman" w:hAnsiTheme="minorHAnsi" w:cstheme="minorHAnsi"/>
                <w:b/>
                <w:bCs/>
                <w:color w:val="FFFFFF"/>
                <w:szCs w:val="20"/>
                <w:lang w:eastAsia="es-MX"/>
              </w:rPr>
              <w:t>Documentos normativos e institucionales</w:t>
            </w:r>
          </w:p>
        </w:tc>
      </w:tr>
      <w:tr w:rsidR="007E1E04" w:rsidRPr="002150BE" w14:paraId="4DD604B6" w14:textId="77777777" w:rsidTr="00A8251B">
        <w:trPr>
          <w:trHeight w:val="690"/>
        </w:trPr>
        <w:tc>
          <w:tcPr>
            <w:tcW w:w="9039" w:type="dxa"/>
            <w:noWrap/>
            <w:vAlign w:val="center"/>
            <w:hideMark/>
          </w:tcPr>
          <w:p w14:paraId="62C26960" w14:textId="77777777" w:rsidR="00E06114" w:rsidRPr="002150BE" w:rsidRDefault="00E06114" w:rsidP="006E5E44">
            <w:pPr>
              <w:pStyle w:val="Prrafodelista"/>
              <w:numPr>
                <w:ilvl w:val="0"/>
                <w:numId w:val="69"/>
              </w:numPr>
              <w:spacing w:after="0" w:line="240" w:lineRule="auto"/>
              <w:rPr>
                <w:rFonts w:asciiTheme="minorHAnsi" w:eastAsia="Times New Roman" w:hAnsiTheme="minorHAnsi" w:cstheme="minorHAnsi"/>
                <w:color w:val="000000"/>
                <w:szCs w:val="20"/>
                <w:lang w:eastAsia="es-MX"/>
              </w:rPr>
            </w:pPr>
            <w:r w:rsidRPr="002150BE">
              <w:rPr>
                <w:rFonts w:asciiTheme="minorHAnsi" w:eastAsia="Times New Roman" w:hAnsiTheme="minorHAnsi" w:cstheme="minorHAnsi"/>
                <w:color w:val="000000"/>
                <w:szCs w:val="20"/>
                <w:lang w:eastAsia="es-MX"/>
              </w:rPr>
              <w:t>Gobierno del Estado de Sinaloa. (2013). Decreto de creación de la Universidad Tecnológica de Culiacán. Periódico Oficial “El Estado de Sinaloa”, 3 de julio de 2013.</w:t>
            </w:r>
          </w:p>
          <w:p w14:paraId="57517F9C" w14:textId="77777777" w:rsidR="00E06114" w:rsidRPr="002150BE" w:rsidRDefault="00E06114" w:rsidP="006E5E44">
            <w:pPr>
              <w:pStyle w:val="Prrafodelista"/>
              <w:numPr>
                <w:ilvl w:val="0"/>
                <w:numId w:val="69"/>
              </w:numPr>
              <w:spacing w:after="0" w:line="240" w:lineRule="auto"/>
              <w:rPr>
                <w:rFonts w:asciiTheme="minorHAnsi" w:eastAsia="Times New Roman" w:hAnsiTheme="minorHAnsi" w:cstheme="minorHAnsi"/>
                <w:color w:val="000000"/>
                <w:szCs w:val="20"/>
                <w:lang w:eastAsia="es-MX"/>
              </w:rPr>
            </w:pPr>
            <w:r w:rsidRPr="002150BE">
              <w:rPr>
                <w:rFonts w:asciiTheme="minorHAnsi" w:eastAsia="Times New Roman" w:hAnsiTheme="minorHAnsi" w:cstheme="minorHAnsi"/>
                <w:color w:val="000000"/>
                <w:szCs w:val="20"/>
                <w:lang w:eastAsia="es-MX"/>
              </w:rPr>
              <w:t>Gobierno del Estado de Sinaloa. (2016). POE-22-06-2016-076-SS [Documento normativo]. Gobierno del Estado de Sinaloa.</w:t>
            </w:r>
          </w:p>
          <w:p w14:paraId="6C99678D" w14:textId="77777777" w:rsidR="00E06114" w:rsidRPr="002150BE" w:rsidRDefault="00E06114" w:rsidP="006E5E44">
            <w:pPr>
              <w:pStyle w:val="Prrafodelista"/>
              <w:numPr>
                <w:ilvl w:val="0"/>
                <w:numId w:val="69"/>
              </w:numPr>
              <w:spacing w:after="0" w:line="240" w:lineRule="auto"/>
              <w:rPr>
                <w:rFonts w:asciiTheme="minorHAnsi" w:eastAsia="Times New Roman" w:hAnsiTheme="minorHAnsi" w:cstheme="minorHAnsi"/>
                <w:color w:val="000000"/>
                <w:szCs w:val="20"/>
                <w:lang w:eastAsia="es-MX"/>
              </w:rPr>
            </w:pPr>
            <w:r w:rsidRPr="002150BE">
              <w:rPr>
                <w:rFonts w:asciiTheme="minorHAnsi" w:eastAsia="Times New Roman" w:hAnsiTheme="minorHAnsi" w:cstheme="minorHAnsi"/>
                <w:color w:val="000000"/>
                <w:szCs w:val="20"/>
                <w:lang w:eastAsia="es-MX"/>
              </w:rPr>
              <w:t>Gobierno del Estado de Sinaloa. (2022). Plan Estatal de Desarrollo 2022–2027 [Documento de planeación]. Gobierno del Estado de Sinaloa.</w:t>
            </w:r>
          </w:p>
          <w:p w14:paraId="54266AEE" w14:textId="77777777" w:rsidR="00E06114" w:rsidRPr="002150BE" w:rsidRDefault="00E06114" w:rsidP="006E5E44">
            <w:pPr>
              <w:pStyle w:val="Prrafodelista"/>
              <w:numPr>
                <w:ilvl w:val="0"/>
                <w:numId w:val="69"/>
              </w:numPr>
              <w:spacing w:after="0" w:line="240" w:lineRule="auto"/>
              <w:rPr>
                <w:rFonts w:asciiTheme="minorHAnsi" w:eastAsia="Times New Roman" w:hAnsiTheme="minorHAnsi" w:cstheme="minorHAnsi"/>
                <w:color w:val="000000"/>
                <w:szCs w:val="20"/>
                <w:lang w:eastAsia="es-MX"/>
              </w:rPr>
            </w:pPr>
            <w:r w:rsidRPr="002150BE">
              <w:rPr>
                <w:rFonts w:asciiTheme="minorHAnsi" w:eastAsia="Times New Roman" w:hAnsiTheme="minorHAnsi" w:cstheme="minorHAnsi"/>
                <w:color w:val="000000"/>
                <w:szCs w:val="20"/>
                <w:lang w:eastAsia="es-MX"/>
              </w:rPr>
              <w:t>Secretaría de Educación Pública y Cultura del Estado de Sinaloa. (2022). Programa Sectorial de Educación 2022–2027 [Documento de planeación sectorial]. Secretaría de Educación Pública y Cultura.</w:t>
            </w:r>
          </w:p>
          <w:p w14:paraId="60E11D14" w14:textId="77777777" w:rsidR="00E06114" w:rsidRPr="002150BE" w:rsidRDefault="00E06114" w:rsidP="006E5E44">
            <w:pPr>
              <w:pStyle w:val="Prrafodelista"/>
              <w:numPr>
                <w:ilvl w:val="0"/>
                <w:numId w:val="69"/>
              </w:numPr>
              <w:spacing w:after="0" w:line="240" w:lineRule="auto"/>
              <w:rPr>
                <w:rFonts w:asciiTheme="minorHAnsi" w:eastAsia="Times New Roman" w:hAnsiTheme="minorHAnsi" w:cstheme="minorHAnsi"/>
                <w:color w:val="000000"/>
                <w:szCs w:val="20"/>
                <w:lang w:eastAsia="es-MX"/>
              </w:rPr>
            </w:pPr>
            <w:r w:rsidRPr="002150BE">
              <w:rPr>
                <w:rFonts w:asciiTheme="minorHAnsi" w:eastAsia="Times New Roman" w:hAnsiTheme="minorHAnsi" w:cstheme="minorHAnsi"/>
                <w:color w:val="000000"/>
                <w:szCs w:val="20"/>
                <w:lang w:eastAsia="es-MX"/>
              </w:rPr>
              <w:t>Universidad Tecnológica de Culiacán. (s. f.). REH-DOC-001: Manual de organización de la Universidad Tecnológica de Culiacán [Documento institucional]. Universidad Tecnológica de Culiacán.</w:t>
            </w:r>
          </w:p>
          <w:p w14:paraId="37256255" w14:textId="77777777" w:rsidR="00E06114" w:rsidRPr="002150BE" w:rsidRDefault="00E06114" w:rsidP="006E5E44">
            <w:pPr>
              <w:pStyle w:val="Prrafodelista"/>
              <w:numPr>
                <w:ilvl w:val="0"/>
                <w:numId w:val="69"/>
              </w:numPr>
              <w:spacing w:after="0" w:line="240" w:lineRule="auto"/>
              <w:rPr>
                <w:rFonts w:asciiTheme="minorHAnsi" w:eastAsia="Times New Roman" w:hAnsiTheme="minorHAnsi" w:cstheme="minorHAnsi"/>
                <w:color w:val="000000"/>
                <w:szCs w:val="20"/>
                <w:lang w:eastAsia="es-MX"/>
              </w:rPr>
            </w:pPr>
            <w:r w:rsidRPr="002150BE">
              <w:rPr>
                <w:rFonts w:asciiTheme="minorHAnsi" w:eastAsia="Times New Roman" w:hAnsiTheme="minorHAnsi" w:cstheme="minorHAnsi"/>
                <w:color w:val="000000"/>
                <w:szCs w:val="20"/>
                <w:lang w:eastAsia="es-MX"/>
              </w:rPr>
              <w:t>Universidad Tecnológica de Culiacán. (s. f.). Código de conducta de la Universidad Tecnológica de Culiacán [Documento institucional]. Universidad Tecnológica de Culiacán.</w:t>
            </w:r>
          </w:p>
          <w:p w14:paraId="303A1718" w14:textId="77777777" w:rsidR="00E06114" w:rsidRPr="002150BE" w:rsidRDefault="00E06114" w:rsidP="006E5E44">
            <w:pPr>
              <w:pStyle w:val="Prrafodelista"/>
              <w:numPr>
                <w:ilvl w:val="0"/>
                <w:numId w:val="69"/>
              </w:numPr>
              <w:spacing w:after="0" w:line="240" w:lineRule="auto"/>
              <w:rPr>
                <w:rFonts w:asciiTheme="minorHAnsi" w:eastAsia="Times New Roman" w:hAnsiTheme="minorHAnsi" w:cstheme="minorHAnsi"/>
                <w:color w:val="000000"/>
                <w:szCs w:val="20"/>
                <w:lang w:eastAsia="es-MX"/>
              </w:rPr>
            </w:pPr>
            <w:r w:rsidRPr="002150BE">
              <w:rPr>
                <w:rFonts w:asciiTheme="minorHAnsi" w:eastAsia="Times New Roman" w:hAnsiTheme="minorHAnsi" w:cstheme="minorHAnsi"/>
                <w:color w:val="000000"/>
                <w:szCs w:val="20"/>
                <w:lang w:eastAsia="es-MX"/>
              </w:rPr>
              <w:t>Universidad Tecnológica de Culiacán. (s. f.). Guía de quejas y denuncias de la Universidad Tecnológica de Culiacán [Documento institucional]. Universidad Tecnológica de Culiacán.</w:t>
            </w:r>
          </w:p>
          <w:p w14:paraId="3F94C0BF" w14:textId="77777777" w:rsidR="00E06114" w:rsidRPr="002150BE" w:rsidRDefault="00E06114" w:rsidP="006E5E44">
            <w:pPr>
              <w:pStyle w:val="Prrafodelista"/>
              <w:numPr>
                <w:ilvl w:val="0"/>
                <w:numId w:val="69"/>
              </w:numPr>
              <w:spacing w:after="0" w:line="240" w:lineRule="auto"/>
              <w:rPr>
                <w:rFonts w:asciiTheme="minorHAnsi" w:eastAsia="Times New Roman" w:hAnsiTheme="minorHAnsi" w:cstheme="minorHAnsi"/>
                <w:color w:val="000000"/>
                <w:szCs w:val="20"/>
                <w:lang w:eastAsia="es-MX"/>
              </w:rPr>
            </w:pPr>
            <w:r w:rsidRPr="002150BE">
              <w:rPr>
                <w:rFonts w:asciiTheme="minorHAnsi" w:eastAsia="Times New Roman" w:hAnsiTheme="minorHAnsi" w:cstheme="minorHAnsi"/>
                <w:color w:val="000000"/>
                <w:szCs w:val="20"/>
                <w:lang w:eastAsia="es-MX"/>
              </w:rPr>
              <w:t>Universidad Tecnológica de Culiacán. (2022). Programa Institucional de Desarrollo (PIDE) 2022–2027 (versión actualizada en 2024) [Documento de planeación institucional]. Universidad Tecnológica de Culiacán.</w:t>
            </w:r>
          </w:p>
          <w:p w14:paraId="48B32EBC" w14:textId="77777777" w:rsidR="00E06114" w:rsidRPr="002150BE" w:rsidRDefault="00E06114" w:rsidP="006E5E44">
            <w:pPr>
              <w:pStyle w:val="Prrafodelista"/>
              <w:numPr>
                <w:ilvl w:val="0"/>
                <w:numId w:val="69"/>
              </w:numPr>
              <w:spacing w:after="0" w:line="240" w:lineRule="auto"/>
              <w:rPr>
                <w:rFonts w:asciiTheme="minorHAnsi" w:eastAsia="Times New Roman" w:hAnsiTheme="minorHAnsi" w:cstheme="minorHAnsi"/>
                <w:color w:val="000000"/>
                <w:szCs w:val="20"/>
                <w:lang w:eastAsia="es-MX"/>
              </w:rPr>
            </w:pPr>
            <w:r w:rsidRPr="002150BE">
              <w:rPr>
                <w:rFonts w:asciiTheme="minorHAnsi" w:eastAsia="Times New Roman" w:hAnsiTheme="minorHAnsi" w:cstheme="minorHAnsi"/>
                <w:color w:val="000000"/>
                <w:szCs w:val="20"/>
                <w:lang w:eastAsia="es-MX"/>
              </w:rPr>
              <w:t>Universidad Tecnológica de Culiacán. (s. f.). PRO-ACA-001: Admisión del alumnado [Procedimiento institucional]. Universidad Tecnológica de Culiacán.</w:t>
            </w:r>
          </w:p>
          <w:p w14:paraId="1D14C9DA" w14:textId="77777777" w:rsidR="00E06114" w:rsidRPr="002150BE" w:rsidRDefault="00E06114" w:rsidP="006E5E44">
            <w:pPr>
              <w:pStyle w:val="Prrafodelista"/>
              <w:numPr>
                <w:ilvl w:val="0"/>
                <w:numId w:val="69"/>
              </w:numPr>
              <w:spacing w:after="0" w:line="240" w:lineRule="auto"/>
              <w:rPr>
                <w:rFonts w:asciiTheme="minorHAnsi" w:eastAsia="Times New Roman" w:hAnsiTheme="minorHAnsi" w:cstheme="minorHAnsi"/>
                <w:color w:val="000000"/>
                <w:szCs w:val="20"/>
                <w:lang w:eastAsia="es-MX"/>
              </w:rPr>
            </w:pPr>
            <w:r w:rsidRPr="002150BE">
              <w:rPr>
                <w:rFonts w:asciiTheme="minorHAnsi" w:eastAsia="Times New Roman" w:hAnsiTheme="minorHAnsi" w:cstheme="minorHAnsi"/>
                <w:color w:val="000000"/>
                <w:szCs w:val="20"/>
                <w:lang w:eastAsia="es-MX"/>
              </w:rPr>
              <w:t>Universidad Tecnológica de Culiacán. (s. f.). PRO-ACA-002: Inscripción [Procedimiento institucional]. Universidad Tecnológica de Culiacán.</w:t>
            </w:r>
          </w:p>
          <w:p w14:paraId="419064B8" w14:textId="77777777" w:rsidR="00E06114" w:rsidRPr="002150BE" w:rsidRDefault="00E06114" w:rsidP="006E5E44">
            <w:pPr>
              <w:pStyle w:val="Prrafodelista"/>
              <w:numPr>
                <w:ilvl w:val="0"/>
                <w:numId w:val="69"/>
              </w:numPr>
              <w:spacing w:after="0" w:line="240" w:lineRule="auto"/>
              <w:rPr>
                <w:rFonts w:asciiTheme="minorHAnsi" w:eastAsia="Times New Roman" w:hAnsiTheme="minorHAnsi" w:cstheme="minorHAnsi"/>
                <w:color w:val="000000"/>
                <w:szCs w:val="20"/>
                <w:lang w:eastAsia="es-MX"/>
              </w:rPr>
            </w:pPr>
            <w:r w:rsidRPr="002150BE">
              <w:rPr>
                <w:rFonts w:asciiTheme="minorHAnsi" w:eastAsia="Times New Roman" w:hAnsiTheme="minorHAnsi" w:cstheme="minorHAnsi"/>
                <w:color w:val="000000"/>
                <w:szCs w:val="20"/>
                <w:lang w:eastAsia="es-MX"/>
              </w:rPr>
              <w:t>Universidad Tecnológica de Culiacán. (s. f.). PRO-ACA-005: Tutorías [Procedimiento institucional]. Universidad Tecnológica de Culiacán.</w:t>
            </w:r>
          </w:p>
          <w:p w14:paraId="5B74CD58" w14:textId="77777777" w:rsidR="00E06114" w:rsidRPr="002150BE" w:rsidRDefault="00E06114" w:rsidP="006E5E44">
            <w:pPr>
              <w:pStyle w:val="Prrafodelista"/>
              <w:numPr>
                <w:ilvl w:val="0"/>
                <w:numId w:val="69"/>
              </w:numPr>
              <w:spacing w:after="0" w:line="240" w:lineRule="auto"/>
              <w:rPr>
                <w:rFonts w:asciiTheme="minorHAnsi" w:eastAsia="Times New Roman" w:hAnsiTheme="minorHAnsi" w:cstheme="minorHAnsi"/>
                <w:color w:val="000000"/>
                <w:szCs w:val="20"/>
                <w:lang w:eastAsia="es-MX"/>
              </w:rPr>
            </w:pPr>
            <w:r w:rsidRPr="002150BE">
              <w:rPr>
                <w:rFonts w:asciiTheme="minorHAnsi" w:eastAsia="Times New Roman" w:hAnsiTheme="minorHAnsi" w:cstheme="minorHAnsi"/>
                <w:color w:val="000000"/>
                <w:szCs w:val="20"/>
                <w:lang w:eastAsia="es-MX"/>
              </w:rPr>
              <w:t>Universidad Tecnológica de Culiacán. (s. f.). PRO-ACA-008: Trámite de título [Procedimiento institucional]. Universidad Tecnológica de Culiacán.</w:t>
            </w:r>
          </w:p>
          <w:p w14:paraId="2AF69564" w14:textId="77777777" w:rsidR="00E06114" w:rsidRPr="002150BE" w:rsidRDefault="00E06114" w:rsidP="006E5E44">
            <w:pPr>
              <w:pStyle w:val="Prrafodelista"/>
              <w:numPr>
                <w:ilvl w:val="0"/>
                <w:numId w:val="69"/>
              </w:numPr>
              <w:spacing w:after="0" w:line="240" w:lineRule="auto"/>
              <w:rPr>
                <w:rFonts w:asciiTheme="minorHAnsi" w:eastAsia="Times New Roman" w:hAnsiTheme="minorHAnsi" w:cstheme="minorHAnsi"/>
                <w:color w:val="000000"/>
                <w:szCs w:val="20"/>
                <w:lang w:eastAsia="es-MX"/>
              </w:rPr>
            </w:pPr>
            <w:r w:rsidRPr="002150BE">
              <w:rPr>
                <w:rFonts w:asciiTheme="minorHAnsi" w:eastAsia="Times New Roman" w:hAnsiTheme="minorHAnsi" w:cstheme="minorHAnsi"/>
                <w:color w:val="000000"/>
                <w:szCs w:val="20"/>
                <w:lang w:eastAsia="es-MX"/>
              </w:rPr>
              <w:t>Universidad Tecnológica de Culiacán. (s. f.). PRO-ACA-012: Evaluación integral docente [Procedimiento institucional]. Universidad Tecnológica de Culiacán.</w:t>
            </w:r>
          </w:p>
          <w:p w14:paraId="50CDF0CC" w14:textId="77777777" w:rsidR="00E06114" w:rsidRPr="002150BE" w:rsidRDefault="00E06114" w:rsidP="006E5E44">
            <w:pPr>
              <w:pStyle w:val="Prrafodelista"/>
              <w:numPr>
                <w:ilvl w:val="0"/>
                <w:numId w:val="69"/>
              </w:numPr>
              <w:spacing w:after="0" w:line="240" w:lineRule="auto"/>
              <w:rPr>
                <w:rFonts w:asciiTheme="minorHAnsi" w:eastAsia="Times New Roman" w:hAnsiTheme="minorHAnsi" w:cstheme="minorHAnsi"/>
                <w:color w:val="000000"/>
                <w:szCs w:val="20"/>
                <w:lang w:eastAsia="es-MX"/>
              </w:rPr>
            </w:pPr>
            <w:r w:rsidRPr="002150BE">
              <w:rPr>
                <w:rFonts w:asciiTheme="minorHAnsi" w:eastAsia="Times New Roman" w:hAnsiTheme="minorHAnsi" w:cstheme="minorHAnsi"/>
                <w:color w:val="000000"/>
                <w:szCs w:val="20"/>
                <w:lang w:eastAsia="es-MX"/>
              </w:rPr>
              <w:t>Universidad Tecnológica de Culiacán. (s. f.). PRO-ACA-017: Estadías profesionales [Procedimiento institucional]. Universidad Tecnológica de Culiacán.</w:t>
            </w:r>
          </w:p>
          <w:p w14:paraId="079BA94A" w14:textId="77777777" w:rsidR="00E06114" w:rsidRPr="002150BE" w:rsidRDefault="00E06114" w:rsidP="006E5E44">
            <w:pPr>
              <w:pStyle w:val="Prrafodelista"/>
              <w:numPr>
                <w:ilvl w:val="0"/>
                <w:numId w:val="69"/>
              </w:numPr>
              <w:spacing w:after="0" w:line="240" w:lineRule="auto"/>
              <w:rPr>
                <w:rFonts w:asciiTheme="minorHAnsi" w:eastAsia="Times New Roman" w:hAnsiTheme="minorHAnsi" w:cstheme="minorHAnsi"/>
                <w:color w:val="000000"/>
                <w:szCs w:val="20"/>
                <w:lang w:eastAsia="es-MX"/>
              </w:rPr>
            </w:pPr>
            <w:r w:rsidRPr="002150BE">
              <w:rPr>
                <w:rFonts w:asciiTheme="minorHAnsi" w:eastAsia="Times New Roman" w:hAnsiTheme="minorHAnsi" w:cstheme="minorHAnsi"/>
                <w:color w:val="000000"/>
                <w:szCs w:val="20"/>
                <w:lang w:eastAsia="es-MX"/>
              </w:rPr>
              <w:t>Universidad Tecnológica de Culiacán. (s. f.). PRO-VIN-002: Seguimiento de egresados [Procedimiento institucional]. Universidad Tecnológica de Culiacán.</w:t>
            </w:r>
          </w:p>
          <w:p w14:paraId="79BA33ED" w14:textId="77777777" w:rsidR="00E06114" w:rsidRPr="002150BE" w:rsidRDefault="00E06114" w:rsidP="006E5E44">
            <w:pPr>
              <w:pStyle w:val="Prrafodelista"/>
              <w:numPr>
                <w:ilvl w:val="0"/>
                <w:numId w:val="69"/>
              </w:numPr>
              <w:spacing w:after="0" w:line="240" w:lineRule="auto"/>
              <w:rPr>
                <w:rFonts w:asciiTheme="minorHAnsi" w:eastAsia="Times New Roman" w:hAnsiTheme="minorHAnsi" w:cstheme="minorHAnsi"/>
                <w:color w:val="000000"/>
                <w:szCs w:val="20"/>
                <w:lang w:eastAsia="es-MX"/>
              </w:rPr>
            </w:pPr>
            <w:r w:rsidRPr="002150BE">
              <w:rPr>
                <w:rFonts w:asciiTheme="minorHAnsi" w:eastAsia="Times New Roman" w:hAnsiTheme="minorHAnsi" w:cstheme="minorHAnsi"/>
                <w:color w:val="000000"/>
                <w:szCs w:val="20"/>
                <w:lang w:eastAsia="es-MX"/>
              </w:rPr>
              <w:t>Universidad Tecnológica de Culiacán. (s. f.). PRO-VIN-006: Bolsa de trabajo [Procedimiento institucional]. Universidad Tecnológica de Culiacán.</w:t>
            </w:r>
          </w:p>
          <w:p w14:paraId="77670634" w14:textId="77777777" w:rsidR="00E06114" w:rsidRPr="002150BE" w:rsidRDefault="00E06114" w:rsidP="006E5E44">
            <w:pPr>
              <w:pStyle w:val="Prrafodelista"/>
              <w:numPr>
                <w:ilvl w:val="0"/>
                <w:numId w:val="69"/>
              </w:numPr>
              <w:spacing w:after="0" w:line="240" w:lineRule="auto"/>
              <w:rPr>
                <w:rFonts w:asciiTheme="minorHAnsi" w:eastAsia="Times New Roman" w:hAnsiTheme="minorHAnsi" w:cstheme="minorHAnsi"/>
                <w:color w:val="000000"/>
                <w:szCs w:val="20"/>
                <w:lang w:eastAsia="es-MX"/>
              </w:rPr>
            </w:pPr>
            <w:r w:rsidRPr="002150BE">
              <w:rPr>
                <w:rFonts w:asciiTheme="minorHAnsi" w:eastAsia="Times New Roman" w:hAnsiTheme="minorHAnsi" w:cstheme="minorHAnsi"/>
                <w:color w:val="000000"/>
                <w:szCs w:val="20"/>
                <w:lang w:eastAsia="es-MX"/>
              </w:rPr>
              <w:t>Universidad Tecnológica de Culiacán. (s. f.). PRO-VIN-007: Visitas empresariales [Procedimiento institucional]. Universidad Tecnológica de Culiacán.</w:t>
            </w:r>
          </w:p>
          <w:p w14:paraId="4665E383" w14:textId="77777777" w:rsidR="007E1E04" w:rsidRPr="002150BE" w:rsidRDefault="00E06114" w:rsidP="006E5E44">
            <w:pPr>
              <w:pStyle w:val="Prrafodelista"/>
              <w:numPr>
                <w:ilvl w:val="0"/>
                <w:numId w:val="69"/>
              </w:numPr>
              <w:spacing w:after="0" w:line="240" w:lineRule="auto"/>
              <w:rPr>
                <w:rFonts w:asciiTheme="minorHAnsi" w:eastAsia="Times New Roman" w:hAnsiTheme="minorHAnsi" w:cstheme="minorHAnsi"/>
                <w:color w:val="000000"/>
                <w:sz w:val="22"/>
                <w:lang w:eastAsia="es-MX"/>
              </w:rPr>
            </w:pPr>
            <w:r w:rsidRPr="002150BE">
              <w:rPr>
                <w:rFonts w:asciiTheme="minorHAnsi" w:eastAsia="Times New Roman" w:hAnsiTheme="minorHAnsi" w:cstheme="minorHAnsi"/>
                <w:color w:val="000000"/>
                <w:szCs w:val="20"/>
                <w:lang w:eastAsia="es-MX"/>
              </w:rPr>
              <w:t>Universidad Tecnológica de Culiacán. (s. f.). MML del Programa Presupuestario “Servicios de Educación Superior y Posgrado de Calidad” (E053) [Documento interno de Matriz de Marco Lógico]. Universidad Tecnológica de Culiacán.</w:t>
            </w:r>
            <w:r w:rsidR="007E1E04" w:rsidRPr="002150BE">
              <w:rPr>
                <w:rFonts w:asciiTheme="minorHAnsi" w:eastAsia="Times New Roman" w:hAnsiTheme="minorHAnsi" w:cstheme="minorHAnsi"/>
                <w:color w:val="000000"/>
                <w:szCs w:val="20"/>
                <w:lang w:eastAsia="es-MX"/>
              </w:rPr>
              <w:t> </w:t>
            </w:r>
          </w:p>
        </w:tc>
      </w:tr>
      <w:tr w:rsidR="007E1E04" w:rsidRPr="002150BE" w14:paraId="07FA0891" w14:textId="77777777" w:rsidTr="00A8251B">
        <w:trPr>
          <w:trHeight w:val="243"/>
        </w:trPr>
        <w:tc>
          <w:tcPr>
            <w:tcW w:w="9039" w:type="dxa"/>
            <w:shd w:val="clear" w:color="auto" w:fill="7F7F7F" w:themeFill="text1" w:themeFillTint="80"/>
            <w:noWrap/>
            <w:vAlign w:val="center"/>
            <w:hideMark/>
          </w:tcPr>
          <w:p w14:paraId="267F9814" w14:textId="77777777" w:rsidR="007E1E04" w:rsidRPr="002150BE" w:rsidRDefault="007E1E04" w:rsidP="007E1E04">
            <w:pPr>
              <w:spacing w:after="0" w:line="240" w:lineRule="auto"/>
              <w:jc w:val="center"/>
              <w:rPr>
                <w:rFonts w:asciiTheme="minorHAnsi" w:eastAsia="Times New Roman" w:hAnsiTheme="minorHAnsi" w:cstheme="minorHAnsi"/>
                <w:b/>
                <w:bCs/>
                <w:color w:val="FFFFFF"/>
                <w:szCs w:val="20"/>
                <w:lang w:eastAsia="es-MX"/>
              </w:rPr>
            </w:pPr>
            <w:r w:rsidRPr="002150BE">
              <w:rPr>
                <w:rFonts w:asciiTheme="minorHAnsi" w:eastAsia="Times New Roman" w:hAnsiTheme="minorHAnsi" w:cstheme="minorHAnsi"/>
                <w:b/>
                <w:bCs/>
                <w:color w:val="FFFFFF"/>
                <w:szCs w:val="20"/>
                <w:lang w:eastAsia="es-MX"/>
              </w:rPr>
              <w:t>Informes</w:t>
            </w:r>
          </w:p>
        </w:tc>
      </w:tr>
      <w:tr w:rsidR="007E1E04" w:rsidRPr="002150BE" w14:paraId="21C70200" w14:textId="77777777" w:rsidTr="00A8251B">
        <w:trPr>
          <w:trHeight w:val="690"/>
        </w:trPr>
        <w:tc>
          <w:tcPr>
            <w:tcW w:w="9039" w:type="dxa"/>
            <w:noWrap/>
            <w:vAlign w:val="center"/>
            <w:hideMark/>
          </w:tcPr>
          <w:p w14:paraId="1E27593A" w14:textId="77777777" w:rsidR="00E06114" w:rsidRPr="002150BE" w:rsidRDefault="00E06114" w:rsidP="006E5E44">
            <w:pPr>
              <w:pStyle w:val="Prrafodelista"/>
              <w:numPr>
                <w:ilvl w:val="0"/>
                <w:numId w:val="68"/>
              </w:numPr>
              <w:spacing w:after="0" w:line="240" w:lineRule="auto"/>
              <w:rPr>
                <w:rFonts w:asciiTheme="minorHAnsi" w:eastAsia="Times New Roman" w:hAnsiTheme="minorHAnsi" w:cstheme="minorHAnsi"/>
                <w:color w:val="000000"/>
                <w:szCs w:val="20"/>
                <w:lang w:eastAsia="es-MX"/>
              </w:rPr>
            </w:pPr>
            <w:r w:rsidRPr="002150BE">
              <w:rPr>
                <w:rFonts w:asciiTheme="minorHAnsi" w:eastAsia="Times New Roman" w:hAnsiTheme="minorHAnsi" w:cstheme="minorHAnsi"/>
                <w:color w:val="000000"/>
                <w:szCs w:val="20"/>
                <w:lang w:eastAsia="es-MX"/>
              </w:rPr>
              <w:t>Universidad Tecnológica de Culiacán. (2024). Informe Final Institucional de la Universidad Tecnológica de Culiacán 2018–2024 [Informe institucional]. Universidad Tecnológica de Culiacán.</w:t>
            </w:r>
          </w:p>
          <w:p w14:paraId="6696C289" w14:textId="77777777" w:rsidR="00E06114" w:rsidRPr="002150BE" w:rsidRDefault="00E06114" w:rsidP="006E5E44">
            <w:pPr>
              <w:pStyle w:val="Prrafodelista"/>
              <w:numPr>
                <w:ilvl w:val="0"/>
                <w:numId w:val="68"/>
              </w:numPr>
              <w:spacing w:after="0" w:line="240" w:lineRule="auto"/>
              <w:rPr>
                <w:rFonts w:asciiTheme="minorHAnsi" w:eastAsia="Times New Roman" w:hAnsiTheme="minorHAnsi" w:cstheme="minorHAnsi"/>
                <w:color w:val="000000"/>
                <w:szCs w:val="20"/>
                <w:lang w:eastAsia="es-MX"/>
              </w:rPr>
            </w:pPr>
            <w:r w:rsidRPr="002150BE">
              <w:rPr>
                <w:rFonts w:asciiTheme="minorHAnsi" w:eastAsia="Times New Roman" w:hAnsiTheme="minorHAnsi" w:cstheme="minorHAnsi"/>
                <w:color w:val="000000"/>
                <w:szCs w:val="20"/>
                <w:lang w:eastAsia="es-MX"/>
              </w:rPr>
              <w:t>Universidad Tecnológica de Culiacán. (2024). Informe de gestión 2018–2024 de la Universidad Tecnológica de Culiacán [Informe institucional]. Universidad Tecnológica de Culiacán.</w:t>
            </w:r>
          </w:p>
          <w:p w14:paraId="40B1F203" w14:textId="77777777" w:rsidR="00E06114" w:rsidRPr="002150BE" w:rsidRDefault="00E06114" w:rsidP="006E5E44">
            <w:pPr>
              <w:pStyle w:val="Prrafodelista"/>
              <w:numPr>
                <w:ilvl w:val="0"/>
                <w:numId w:val="68"/>
              </w:numPr>
              <w:spacing w:after="0" w:line="240" w:lineRule="auto"/>
              <w:rPr>
                <w:rFonts w:asciiTheme="minorHAnsi" w:eastAsia="Times New Roman" w:hAnsiTheme="minorHAnsi" w:cstheme="minorHAnsi"/>
                <w:color w:val="000000"/>
                <w:szCs w:val="20"/>
                <w:lang w:eastAsia="es-MX"/>
              </w:rPr>
            </w:pPr>
            <w:r w:rsidRPr="002150BE">
              <w:rPr>
                <w:rFonts w:asciiTheme="minorHAnsi" w:eastAsia="Times New Roman" w:hAnsiTheme="minorHAnsi" w:cstheme="minorHAnsi"/>
                <w:color w:val="000000"/>
                <w:szCs w:val="20"/>
                <w:lang w:eastAsia="es-MX"/>
              </w:rPr>
              <w:t>Universidad Tecnológica de Culiacán. (2024). Capítulo V. Actividades sustantivas enero–marzo 2024 [Informe trimestral]. Universidad Tecnológica de Culiacán.</w:t>
            </w:r>
          </w:p>
          <w:p w14:paraId="059E3AAE" w14:textId="77777777" w:rsidR="00E06114" w:rsidRPr="002150BE" w:rsidRDefault="00E06114" w:rsidP="006E5E44">
            <w:pPr>
              <w:pStyle w:val="Prrafodelista"/>
              <w:numPr>
                <w:ilvl w:val="0"/>
                <w:numId w:val="68"/>
              </w:numPr>
              <w:spacing w:after="0" w:line="240" w:lineRule="auto"/>
              <w:rPr>
                <w:rFonts w:asciiTheme="minorHAnsi" w:eastAsia="Times New Roman" w:hAnsiTheme="minorHAnsi" w:cstheme="minorHAnsi"/>
                <w:color w:val="000000"/>
                <w:szCs w:val="20"/>
                <w:lang w:eastAsia="es-MX"/>
              </w:rPr>
            </w:pPr>
            <w:r w:rsidRPr="002150BE">
              <w:rPr>
                <w:rFonts w:asciiTheme="minorHAnsi" w:eastAsia="Times New Roman" w:hAnsiTheme="minorHAnsi" w:cstheme="minorHAnsi"/>
                <w:color w:val="000000"/>
                <w:szCs w:val="20"/>
                <w:lang w:eastAsia="es-MX"/>
              </w:rPr>
              <w:t>Universidad Tecnológica de Culiacán. (2024). Capítulo V. Actividades sustantivas abril–junio 2024 [Informe trimestral]. Universidad Tecnológica de Culiacán.</w:t>
            </w:r>
          </w:p>
          <w:p w14:paraId="223DD3AB" w14:textId="77777777" w:rsidR="00E06114" w:rsidRPr="002150BE" w:rsidRDefault="00E06114" w:rsidP="006E5E44">
            <w:pPr>
              <w:pStyle w:val="Prrafodelista"/>
              <w:numPr>
                <w:ilvl w:val="0"/>
                <w:numId w:val="68"/>
              </w:numPr>
              <w:spacing w:after="0" w:line="240" w:lineRule="auto"/>
              <w:rPr>
                <w:rFonts w:asciiTheme="minorHAnsi" w:eastAsia="Times New Roman" w:hAnsiTheme="minorHAnsi" w:cstheme="minorHAnsi"/>
                <w:color w:val="000000"/>
                <w:szCs w:val="20"/>
                <w:lang w:eastAsia="es-MX"/>
              </w:rPr>
            </w:pPr>
            <w:r w:rsidRPr="002150BE">
              <w:rPr>
                <w:rFonts w:asciiTheme="minorHAnsi" w:eastAsia="Times New Roman" w:hAnsiTheme="minorHAnsi" w:cstheme="minorHAnsi"/>
                <w:color w:val="000000"/>
                <w:szCs w:val="20"/>
                <w:lang w:eastAsia="es-MX"/>
              </w:rPr>
              <w:t xml:space="preserve">Universidad Tecnológica de Culiacán. (2024). Capítulo V. Actividades sustantivas julio–septiembre 2024 </w:t>
            </w:r>
            <w:r w:rsidRPr="002150BE">
              <w:rPr>
                <w:rFonts w:asciiTheme="minorHAnsi" w:eastAsia="Times New Roman" w:hAnsiTheme="minorHAnsi" w:cstheme="minorHAnsi"/>
                <w:color w:val="000000"/>
                <w:szCs w:val="20"/>
                <w:lang w:eastAsia="es-MX"/>
              </w:rPr>
              <w:lastRenderedPageBreak/>
              <w:t>[Informe trimestral]. Universidad Tecnológica de Culiacán.</w:t>
            </w:r>
          </w:p>
          <w:p w14:paraId="38EE1246" w14:textId="77777777" w:rsidR="00E06114" w:rsidRPr="002150BE" w:rsidRDefault="00E06114" w:rsidP="006E5E44">
            <w:pPr>
              <w:pStyle w:val="Prrafodelista"/>
              <w:numPr>
                <w:ilvl w:val="0"/>
                <w:numId w:val="68"/>
              </w:numPr>
              <w:spacing w:after="0" w:line="240" w:lineRule="auto"/>
              <w:rPr>
                <w:rFonts w:asciiTheme="minorHAnsi" w:eastAsia="Times New Roman" w:hAnsiTheme="minorHAnsi" w:cstheme="minorHAnsi"/>
                <w:color w:val="000000"/>
                <w:szCs w:val="20"/>
                <w:lang w:eastAsia="es-MX"/>
              </w:rPr>
            </w:pPr>
            <w:r w:rsidRPr="002150BE">
              <w:rPr>
                <w:rFonts w:asciiTheme="minorHAnsi" w:eastAsia="Times New Roman" w:hAnsiTheme="minorHAnsi" w:cstheme="minorHAnsi"/>
                <w:color w:val="000000"/>
                <w:szCs w:val="20"/>
                <w:lang w:eastAsia="es-MX"/>
              </w:rPr>
              <w:t>Universidad Tecnológica de Culiacán. (2024). Capítulo V. Actividades sustantivas octubre–diciembre 2024 [Informe trimestral]. Universidad Tecnológica de Culiacán.</w:t>
            </w:r>
          </w:p>
          <w:p w14:paraId="203FE864" w14:textId="77777777" w:rsidR="00E06114" w:rsidRPr="002150BE" w:rsidRDefault="00E06114" w:rsidP="006E5E44">
            <w:pPr>
              <w:pStyle w:val="Prrafodelista"/>
              <w:numPr>
                <w:ilvl w:val="0"/>
                <w:numId w:val="68"/>
              </w:numPr>
              <w:spacing w:after="0" w:line="240" w:lineRule="auto"/>
              <w:rPr>
                <w:rFonts w:asciiTheme="minorHAnsi" w:eastAsia="Times New Roman" w:hAnsiTheme="minorHAnsi" w:cstheme="minorHAnsi"/>
                <w:color w:val="000000"/>
                <w:szCs w:val="20"/>
                <w:lang w:eastAsia="es-MX"/>
              </w:rPr>
            </w:pPr>
            <w:r w:rsidRPr="002150BE">
              <w:rPr>
                <w:rFonts w:asciiTheme="minorHAnsi" w:eastAsia="Times New Roman" w:hAnsiTheme="minorHAnsi" w:cstheme="minorHAnsi"/>
                <w:color w:val="000000"/>
                <w:szCs w:val="20"/>
                <w:lang w:eastAsia="es-MX"/>
              </w:rPr>
              <w:t>Universidad Tecnológica de Culiacán. (2024). Reporte de oficialización de educación superior 2024–2025 [Informe institucional]. Universidad Tecnológica de Culiacán.</w:t>
            </w:r>
          </w:p>
          <w:p w14:paraId="4EC2F974" w14:textId="77777777" w:rsidR="00E06114" w:rsidRPr="002150BE" w:rsidRDefault="00E06114" w:rsidP="006E5E44">
            <w:pPr>
              <w:pStyle w:val="Prrafodelista"/>
              <w:numPr>
                <w:ilvl w:val="0"/>
                <w:numId w:val="68"/>
              </w:numPr>
              <w:spacing w:after="0" w:line="240" w:lineRule="auto"/>
              <w:rPr>
                <w:rFonts w:asciiTheme="minorHAnsi" w:eastAsia="Times New Roman" w:hAnsiTheme="minorHAnsi" w:cstheme="minorHAnsi"/>
                <w:color w:val="000000"/>
                <w:szCs w:val="20"/>
                <w:lang w:eastAsia="es-MX"/>
              </w:rPr>
            </w:pPr>
            <w:r w:rsidRPr="002150BE">
              <w:rPr>
                <w:rFonts w:asciiTheme="minorHAnsi" w:eastAsia="Times New Roman" w:hAnsiTheme="minorHAnsi" w:cstheme="minorHAnsi"/>
                <w:color w:val="000000"/>
                <w:szCs w:val="20"/>
                <w:lang w:eastAsia="es-MX"/>
              </w:rPr>
              <w:t>Universidad Tecnológica de Culiacán. (2024). Pregunta 15 Servicios Escolares [Documento de apoyo interno para evaluación]. Universidad Tecnológica de Culiacán.</w:t>
            </w:r>
          </w:p>
          <w:p w14:paraId="28E8A8AA" w14:textId="77777777" w:rsidR="00E06114" w:rsidRPr="002150BE" w:rsidRDefault="00E06114" w:rsidP="006E5E44">
            <w:pPr>
              <w:pStyle w:val="Prrafodelista"/>
              <w:numPr>
                <w:ilvl w:val="0"/>
                <w:numId w:val="68"/>
              </w:numPr>
              <w:spacing w:after="0" w:line="240" w:lineRule="auto"/>
              <w:rPr>
                <w:rFonts w:asciiTheme="minorHAnsi" w:eastAsia="Times New Roman" w:hAnsiTheme="minorHAnsi" w:cstheme="minorHAnsi"/>
                <w:color w:val="000000"/>
                <w:szCs w:val="20"/>
                <w:lang w:eastAsia="es-MX"/>
              </w:rPr>
            </w:pPr>
            <w:r w:rsidRPr="002150BE">
              <w:rPr>
                <w:rFonts w:asciiTheme="minorHAnsi" w:eastAsia="Times New Roman" w:hAnsiTheme="minorHAnsi" w:cstheme="minorHAnsi"/>
                <w:color w:val="000000"/>
                <w:szCs w:val="20"/>
                <w:lang w:eastAsia="es-MX"/>
              </w:rPr>
              <w:t>Universidad Tecnológica de Culiacán. (2024). Pregunta 16 Servicios Escolares [Documento de apoyo interno para evaluación]. Universidad Tecnológica de Culiacán.</w:t>
            </w:r>
          </w:p>
          <w:p w14:paraId="009B4D37" w14:textId="77777777" w:rsidR="00E06114" w:rsidRPr="002150BE" w:rsidRDefault="00E06114" w:rsidP="006E5E44">
            <w:pPr>
              <w:pStyle w:val="Prrafodelista"/>
              <w:numPr>
                <w:ilvl w:val="0"/>
                <w:numId w:val="68"/>
              </w:numPr>
              <w:spacing w:after="0" w:line="240" w:lineRule="auto"/>
              <w:rPr>
                <w:rFonts w:asciiTheme="minorHAnsi" w:eastAsia="Times New Roman" w:hAnsiTheme="minorHAnsi" w:cstheme="minorHAnsi"/>
                <w:color w:val="000000"/>
                <w:szCs w:val="20"/>
                <w:lang w:eastAsia="es-MX"/>
              </w:rPr>
            </w:pPr>
            <w:r w:rsidRPr="002150BE">
              <w:rPr>
                <w:rFonts w:asciiTheme="minorHAnsi" w:eastAsia="Times New Roman" w:hAnsiTheme="minorHAnsi" w:cstheme="minorHAnsi"/>
                <w:color w:val="000000"/>
                <w:szCs w:val="20"/>
                <w:lang w:eastAsia="es-MX"/>
              </w:rPr>
              <w:t>Universidad Tecnológica de Culiacán. (2024). Pregunta 18 y 19 [Documento de apoyo interno para evaluación]. Universidad Tecnológica de Culiacán.</w:t>
            </w:r>
          </w:p>
          <w:p w14:paraId="60EDE715" w14:textId="77777777" w:rsidR="007E1E04" w:rsidRPr="002150BE" w:rsidRDefault="00E06114" w:rsidP="006E5E44">
            <w:pPr>
              <w:pStyle w:val="Prrafodelista"/>
              <w:numPr>
                <w:ilvl w:val="0"/>
                <w:numId w:val="68"/>
              </w:numPr>
              <w:spacing w:after="0" w:line="240" w:lineRule="auto"/>
              <w:rPr>
                <w:rFonts w:asciiTheme="minorHAnsi" w:eastAsia="Times New Roman" w:hAnsiTheme="minorHAnsi" w:cstheme="minorHAnsi"/>
                <w:color w:val="000000"/>
                <w:sz w:val="22"/>
                <w:lang w:eastAsia="es-MX"/>
              </w:rPr>
            </w:pPr>
            <w:r w:rsidRPr="002150BE">
              <w:rPr>
                <w:rFonts w:asciiTheme="minorHAnsi" w:eastAsia="Times New Roman" w:hAnsiTheme="minorHAnsi" w:cstheme="minorHAnsi"/>
                <w:color w:val="000000"/>
                <w:szCs w:val="20"/>
                <w:lang w:eastAsia="es-MX"/>
              </w:rPr>
              <w:t>Universidad Tecnológica de Culiacán. (2024). Pregunta 21 Tutorías [Documento de apoyo interno para evaluación]. Universidad Tecnológica de Culiacán.</w:t>
            </w:r>
            <w:r w:rsidR="007E1E04" w:rsidRPr="002150BE">
              <w:rPr>
                <w:rFonts w:asciiTheme="minorHAnsi" w:eastAsia="Times New Roman" w:hAnsiTheme="minorHAnsi" w:cstheme="minorHAnsi"/>
                <w:color w:val="000000"/>
                <w:szCs w:val="20"/>
                <w:lang w:eastAsia="es-MX"/>
              </w:rPr>
              <w:t> </w:t>
            </w:r>
          </w:p>
        </w:tc>
      </w:tr>
      <w:tr w:rsidR="007E1E04" w:rsidRPr="002150BE" w14:paraId="060E7BA4" w14:textId="77777777" w:rsidTr="00A8251B">
        <w:trPr>
          <w:trHeight w:val="243"/>
        </w:trPr>
        <w:tc>
          <w:tcPr>
            <w:tcW w:w="9039" w:type="dxa"/>
            <w:shd w:val="clear" w:color="auto" w:fill="7F7F7F" w:themeFill="text1" w:themeFillTint="80"/>
            <w:noWrap/>
            <w:vAlign w:val="center"/>
            <w:hideMark/>
          </w:tcPr>
          <w:p w14:paraId="31F1030B" w14:textId="77777777" w:rsidR="007E1E04" w:rsidRPr="002150BE" w:rsidRDefault="007E1E04" w:rsidP="007E1E04">
            <w:pPr>
              <w:spacing w:after="0" w:line="240" w:lineRule="auto"/>
              <w:jc w:val="center"/>
              <w:rPr>
                <w:rFonts w:asciiTheme="minorHAnsi" w:eastAsia="Times New Roman" w:hAnsiTheme="minorHAnsi" w:cstheme="minorHAnsi"/>
                <w:b/>
                <w:bCs/>
                <w:color w:val="FFFFFF"/>
                <w:szCs w:val="20"/>
                <w:lang w:eastAsia="es-MX"/>
              </w:rPr>
            </w:pPr>
            <w:r w:rsidRPr="002150BE">
              <w:rPr>
                <w:rFonts w:asciiTheme="minorHAnsi" w:eastAsia="Times New Roman" w:hAnsiTheme="minorHAnsi" w:cstheme="minorHAnsi"/>
                <w:b/>
                <w:bCs/>
                <w:color w:val="FFFFFF"/>
                <w:szCs w:val="20"/>
                <w:lang w:eastAsia="es-MX"/>
              </w:rPr>
              <w:lastRenderedPageBreak/>
              <w:t>Páginas web</w:t>
            </w:r>
          </w:p>
        </w:tc>
      </w:tr>
      <w:tr w:rsidR="007E1E04" w:rsidRPr="002150BE" w14:paraId="3EA2B5DE" w14:textId="77777777" w:rsidTr="00A8251B">
        <w:trPr>
          <w:trHeight w:val="690"/>
        </w:trPr>
        <w:tc>
          <w:tcPr>
            <w:tcW w:w="9039" w:type="dxa"/>
            <w:noWrap/>
            <w:vAlign w:val="center"/>
            <w:hideMark/>
          </w:tcPr>
          <w:p w14:paraId="74A9F05B" w14:textId="77777777" w:rsidR="000176E3" w:rsidRPr="002150BE" w:rsidRDefault="000176E3" w:rsidP="006E5E44">
            <w:pPr>
              <w:pStyle w:val="Prrafodelista"/>
              <w:numPr>
                <w:ilvl w:val="0"/>
                <w:numId w:val="67"/>
              </w:numPr>
              <w:spacing w:after="0" w:line="240" w:lineRule="auto"/>
              <w:rPr>
                <w:rFonts w:asciiTheme="minorHAnsi" w:eastAsia="Times New Roman" w:hAnsiTheme="minorHAnsi" w:cstheme="minorHAnsi"/>
                <w:color w:val="000000"/>
                <w:szCs w:val="20"/>
                <w:lang w:eastAsia="es-MX"/>
              </w:rPr>
            </w:pPr>
            <w:r w:rsidRPr="002150BE">
              <w:rPr>
                <w:rFonts w:asciiTheme="minorHAnsi" w:eastAsia="Times New Roman" w:hAnsiTheme="minorHAnsi" w:cstheme="minorHAnsi"/>
                <w:color w:val="000000"/>
                <w:szCs w:val="20"/>
                <w:lang w:eastAsia="es-MX"/>
              </w:rPr>
              <w:t>Universidad Tecnológica de Culiacán. (s. f.). Universidad Tecnológica de Culiacán [Sitio web institucional]. Recuperado de https://utculiacan.edu.mx</w:t>
            </w:r>
          </w:p>
          <w:p w14:paraId="3676D296" w14:textId="77777777" w:rsidR="000176E3" w:rsidRPr="002150BE" w:rsidRDefault="000176E3" w:rsidP="006E5E44">
            <w:pPr>
              <w:pStyle w:val="Prrafodelista"/>
              <w:numPr>
                <w:ilvl w:val="0"/>
                <w:numId w:val="67"/>
              </w:numPr>
              <w:spacing w:after="0" w:line="240" w:lineRule="auto"/>
              <w:rPr>
                <w:rFonts w:asciiTheme="minorHAnsi" w:eastAsia="Times New Roman" w:hAnsiTheme="minorHAnsi" w:cstheme="minorHAnsi"/>
                <w:color w:val="000000"/>
                <w:szCs w:val="20"/>
                <w:lang w:eastAsia="es-MX"/>
              </w:rPr>
            </w:pPr>
            <w:r w:rsidRPr="002150BE">
              <w:rPr>
                <w:rFonts w:asciiTheme="minorHAnsi" w:eastAsia="Times New Roman" w:hAnsiTheme="minorHAnsi" w:cstheme="minorHAnsi"/>
                <w:color w:val="000000"/>
                <w:szCs w:val="20"/>
                <w:lang w:eastAsia="es-MX"/>
              </w:rPr>
              <w:t>Gobierno del Estado de Sinaloa. (s. f.). Plan Estatal de Desarrollo 2022–2027 [Portal institucional]. Recuperado de https://sinaloa.gob.mx</w:t>
            </w:r>
          </w:p>
          <w:p w14:paraId="0779A454" w14:textId="77777777" w:rsidR="000176E3" w:rsidRPr="002150BE" w:rsidRDefault="000176E3" w:rsidP="006E5E44">
            <w:pPr>
              <w:pStyle w:val="Prrafodelista"/>
              <w:numPr>
                <w:ilvl w:val="0"/>
                <w:numId w:val="67"/>
              </w:numPr>
              <w:spacing w:after="0" w:line="240" w:lineRule="auto"/>
              <w:rPr>
                <w:rFonts w:asciiTheme="minorHAnsi" w:eastAsia="Times New Roman" w:hAnsiTheme="minorHAnsi" w:cstheme="minorHAnsi"/>
                <w:color w:val="000000"/>
                <w:szCs w:val="20"/>
                <w:lang w:eastAsia="es-MX"/>
              </w:rPr>
            </w:pPr>
            <w:r w:rsidRPr="002150BE">
              <w:rPr>
                <w:rFonts w:asciiTheme="minorHAnsi" w:eastAsia="Times New Roman" w:hAnsiTheme="minorHAnsi" w:cstheme="minorHAnsi"/>
                <w:color w:val="000000"/>
                <w:szCs w:val="20"/>
                <w:lang w:eastAsia="es-MX"/>
              </w:rPr>
              <w:t>Gobierno del Estado de Sinaloa. (s. f.). Transparencia – Programa Sectorial de Educación 2022–2027 [Portal de transparencia]. Recuperado del sitio de transparencia del Gobierno del Estado de Sinaloa.</w:t>
            </w:r>
          </w:p>
          <w:p w14:paraId="60A1EA34" w14:textId="77777777" w:rsidR="007E1E04" w:rsidRPr="002150BE" w:rsidRDefault="000176E3" w:rsidP="006E5E44">
            <w:pPr>
              <w:pStyle w:val="Prrafodelista"/>
              <w:numPr>
                <w:ilvl w:val="0"/>
                <w:numId w:val="67"/>
              </w:numPr>
              <w:spacing w:after="0" w:line="240" w:lineRule="auto"/>
              <w:rPr>
                <w:rFonts w:asciiTheme="minorHAnsi" w:eastAsia="Times New Roman" w:hAnsiTheme="minorHAnsi" w:cstheme="minorHAnsi"/>
                <w:color w:val="000000"/>
                <w:sz w:val="22"/>
                <w:lang w:eastAsia="es-MX"/>
              </w:rPr>
            </w:pPr>
            <w:r w:rsidRPr="002150BE">
              <w:rPr>
                <w:rFonts w:asciiTheme="minorHAnsi" w:eastAsia="Times New Roman" w:hAnsiTheme="minorHAnsi" w:cstheme="minorHAnsi"/>
                <w:color w:val="000000"/>
                <w:szCs w:val="20"/>
                <w:lang w:eastAsia="es-MX"/>
              </w:rPr>
              <w:t xml:space="preserve">Secretaría de Educación Pública. (s. f.). </w:t>
            </w:r>
            <w:r w:rsidRPr="002150BE">
              <w:rPr>
                <w:rFonts w:asciiTheme="minorHAnsi" w:eastAsia="Times New Roman" w:hAnsiTheme="minorHAnsi" w:cstheme="minorHAnsi"/>
                <w:color w:val="000000"/>
                <w:szCs w:val="20"/>
                <w:lang w:val="pt-PT" w:eastAsia="es-MX"/>
              </w:rPr>
              <w:t xml:space="preserve">Estadísticas e indicadores educativos [Portal de estadísticas educativas]. </w:t>
            </w:r>
            <w:r w:rsidRPr="002150BE">
              <w:rPr>
                <w:rFonts w:asciiTheme="minorHAnsi" w:eastAsia="Times New Roman" w:hAnsiTheme="minorHAnsi" w:cstheme="minorHAnsi"/>
                <w:color w:val="000000"/>
                <w:szCs w:val="20"/>
                <w:lang w:eastAsia="es-MX"/>
              </w:rPr>
              <w:t>Recuperado de https://www.gob.mx/sep</w:t>
            </w:r>
            <w:r w:rsidR="007E1E04" w:rsidRPr="002150BE">
              <w:rPr>
                <w:rFonts w:asciiTheme="minorHAnsi" w:eastAsia="Times New Roman" w:hAnsiTheme="minorHAnsi" w:cstheme="minorHAnsi"/>
                <w:color w:val="000000"/>
                <w:szCs w:val="20"/>
                <w:lang w:eastAsia="es-MX"/>
              </w:rPr>
              <w:t> </w:t>
            </w:r>
          </w:p>
        </w:tc>
      </w:tr>
      <w:tr w:rsidR="007E1E04" w:rsidRPr="002150BE" w14:paraId="28B6129D" w14:textId="77777777" w:rsidTr="00A8251B">
        <w:trPr>
          <w:trHeight w:val="243"/>
        </w:trPr>
        <w:tc>
          <w:tcPr>
            <w:tcW w:w="9039" w:type="dxa"/>
            <w:shd w:val="clear" w:color="auto" w:fill="7F7F7F" w:themeFill="text1" w:themeFillTint="80"/>
            <w:noWrap/>
            <w:vAlign w:val="center"/>
            <w:hideMark/>
          </w:tcPr>
          <w:p w14:paraId="0327CB7C" w14:textId="77777777" w:rsidR="007E1E04" w:rsidRPr="002150BE" w:rsidRDefault="007E1E04" w:rsidP="007E1E04">
            <w:pPr>
              <w:spacing w:after="0" w:line="240" w:lineRule="auto"/>
              <w:jc w:val="center"/>
              <w:rPr>
                <w:rFonts w:asciiTheme="minorHAnsi" w:eastAsia="Times New Roman" w:hAnsiTheme="minorHAnsi" w:cstheme="minorHAnsi"/>
                <w:b/>
                <w:bCs/>
                <w:color w:val="FFFFFF"/>
                <w:szCs w:val="20"/>
                <w:lang w:eastAsia="es-MX"/>
              </w:rPr>
            </w:pPr>
            <w:r w:rsidRPr="002150BE">
              <w:rPr>
                <w:rFonts w:asciiTheme="minorHAnsi" w:eastAsia="Times New Roman" w:hAnsiTheme="minorHAnsi" w:cstheme="minorHAnsi"/>
                <w:b/>
                <w:bCs/>
                <w:color w:val="FFFFFF"/>
                <w:szCs w:val="20"/>
                <w:lang w:eastAsia="es-MX"/>
              </w:rPr>
              <w:t>Estadísticas y registros administrativos</w:t>
            </w:r>
          </w:p>
        </w:tc>
      </w:tr>
      <w:tr w:rsidR="00A8251B" w:rsidRPr="002150BE" w14:paraId="2E1E3077" w14:textId="77777777" w:rsidTr="00384E68">
        <w:trPr>
          <w:trHeight w:val="690"/>
        </w:trPr>
        <w:tc>
          <w:tcPr>
            <w:tcW w:w="9039" w:type="dxa"/>
            <w:noWrap/>
            <w:vAlign w:val="center"/>
            <w:hideMark/>
          </w:tcPr>
          <w:p w14:paraId="6BF4DE36" w14:textId="77777777" w:rsidR="000176E3" w:rsidRPr="002150BE" w:rsidRDefault="000176E3" w:rsidP="006E5E44">
            <w:pPr>
              <w:pStyle w:val="Prrafodelista"/>
              <w:numPr>
                <w:ilvl w:val="0"/>
                <w:numId w:val="66"/>
              </w:numPr>
              <w:spacing w:after="0" w:line="240" w:lineRule="auto"/>
              <w:rPr>
                <w:rFonts w:asciiTheme="minorHAnsi" w:eastAsia="Times New Roman" w:hAnsiTheme="minorHAnsi" w:cstheme="minorHAnsi"/>
                <w:color w:val="000000"/>
                <w:szCs w:val="20"/>
                <w:lang w:eastAsia="es-MX"/>
              </w:rPr>
            </w:pPr>
            <w:r w:rsidRPr="002150BE">
              <w:rPr>
                <w:rFonts w:asciiTheme="minorHAnsi" w:eastAsia="Times New Roman" w:hAnsiTheme="minorHAnsi" w:cstheme="minorHAnsi"/>
                <w:color w:val="000000"/>
                <w:szCs w:val="20"/>
                <w:lang w:eastAsia="es-MX"/>
              </w:rPr>
              <w:t>Gobierno del Estado de Sinaloa. (2024). Ley de Ingresos y Presupuesto de Egresos del Estado de Sinaloa para el ejercicio fiscal 2024 [Estadística presupuestaria]. Gobierno del Estado de Sinaloa.</w:t>
            </w:r>
          </w:p>
          <w:p w14:paraId="2BFDB1E8" w14:textId="77777777" w:rsidR="000176E3" w:rsidRPr="002150BE" w:rsidRDefault="000176E3" w:rsidP="006E5E44">
            <w:pPr>
              <w:pStyle w:val="Prrafodelista"/>
              <w:numPr>
                <w:ilvl w:val="0"/>
                <w:numId w:val="66"/>
              </w:numPr>
              <w:spacing w:after="0" w:line="240" w:lineRule="auto"/>
              <w:rPr>
                <w:rFonts w:asciiTheme="minorHAnsi" w:eastAsia="Times New Roman" w:hAnsiTheme="minorHAnsi" w:cstheme="minorHAnsi"/>
                <w:color w:val="000000"/>
                <w:szCs w:val="20"/>
                <w:lang w:eastAsia="es-MX"/>
              </w:rPr>
            </w:pPr>
            <w:r w:rsidRPr="002150BE">
              <w:rPr>
                <w:rFonts w:asciiTheme="minorHAnsi" w:eastAsia="Times New Roman" w:hAnsiTheme="minorHAnsi" w:cstheme="minorHAnsi"/>
                <w:color w:val="000000"/>
                <w:szCs w:val="20"/>
                <w:lang w:eastAsia="es-MX"/>
              </w:rPr>
              <w:t>Secretaría de Educación Pública. (2023). Principales cifras del Sistema Educativo Nacional 2022–2023 [Informe estadístico]. Secretaría de Educación Pública.</w:t>
            </w:r>
          </w:p>
          <w:p w14:paraId="3E9EE786" w14:textId="77777777" w:rsidR="000176E3" w:rsidRPr="002150BE" w:rsidRDefault="000176E3" w:rsidP="006E5E44">
            <w:pPr>
              <w:pStyle w:val="Prrafodelista"/>
              <w:numPr>
                <w:ilvl w:val="0"/>
                <w:numId w:val="66"/>
              </w:numPr>
              <w:spacing w:after="0" w:line="240" w:lineRule="auto"/>
              <w:rPr>
                <w:rFonts w:asciiTheme="minorHAnsi" w:eastAsia="Times New Roman" w:hAnsiTheme="minorHAnsi" w:cstheme="minorHAnsi"/>
                <w:color w:val="000000"/>
                <w:szCs w:val="20"/>
                <w:lang w:eastAsia="es-MX"/>
              </w:rPr>
            </w:pPr>
            <w:r w:rsidRPr="002150BE">
              <w:rPr>
                <w:rFonts w:asciiTheme="minorHAnsi" w:eastAsia="Times New Roman" w:hAnsiTheme="minorHAnsi" w:cstheme="minorHAnsi"/>
                <w:color w:val="000000"/>
                <w:szCs w:val="20"/>
                <w:lang w:eastAsia="es-MX"/>
              </w:rPr>
              <w:t>Secretaría de Educación Pública. (2023). Informes trimestrales sobre la ejecución del Presupuesto de Egresos de la Federación (artículo 37) [Registros administrativos]. Secretaría de Educación Pública.</w:t>
            </w:r>
          </w:p>
          <w:p w14:paraId="7124DC23" w14:textId="77777777" w:rsidR="00A8251B" w:rsidRPr="002150BE" w:rsidRDefault="000176E3" w:rsidP="006E5E44">
            <w:pPr>
              <w:pStyle w:val="Prrafodelista"/>
              <w:numPr>
                <w:ilvl w:val="0"/>
                <w:numId w:val="66"/>
              </w:numPr>
              <w:spacing w:after="0" w:line="240" w:lineRule="auto"/>
              <w:rPr>
                <w:rFonts w:asciiTheme="minorHAnsi" w:eastAsia="Times New Roman" w:hAnsiTheme="minorHAnsi" w:cstheme="minorHAnsi"/>
                <w:color w:val="000000"/>
                <w:sz w:val="22"/>
                <w:lang w:eastAsia="es-MX"/>
              </w:rPr>
            </w:pPr>
            <w:r w:rsidRPr="002150BE">
              <w:rPr>
                <w:rFonts w:asciiTheme="minorHAnsi" w:eastAsia="Times New Roman" w:hAnsiTheme="minorHAnsi" w:cstheme="minorHAnsi"/>
                <w:color w:val="000000"/>
                <w:szCs w:val="20"/>
                <w:lang w:eastAsia="es-MX"/>
              </w:rPr>
              <w:t>Universidad Tecnológica de Culiacán &amp; Secretaría de Educación Pública y Cultura. (2024–2025). Formato 911 Institución 2024–2025; Formato 911 Escuela 2024–2025; Anexo de Tecnologías 2024–2025; Anexo Tecnologías de la Información 2024–2025 [Registros administrativos internos]. Universidad Tecnológica de Culiacán.</w:t>
            </w:r>
          </w:p>
        </w:tc>
      </w:tr>
    </w:tbl>
    <w:p w14:paraId="01B87303" w14:textId="6BAF5C48" w:rsidR="00C25B29" w:rsidRDefault="00C25B29">
      <w:pPr>
        <w:spacing w:line="276" w:lineRule="auto"/>
        <w:jc w:val="left"/>
        <w:rPr>
          <w:rFonts w:asciiTheme="minorHAnsi" w:hAnsiTheme="minorHAnsi" w:cstheme="minorHAnsi"/>
          <w:lang w:val="es-ES"/>
        </w:rPr>
      </w:pPr>
    </w:p>
    <w:p w14:paraId="41741790" w14:textId="77777777" w:rsidR="00C25B29" w:rsidRDefault="00C25B29">
      <w:pPr>
        <w:spacing w:line="276" w:lineRule="auto"/>
        <w:jc w:val="left"/>
        <w:rPr>
          <w:rFonts w:asciiTheme="minorHAnsi" w:hAnsiTheme="minorHAnsi" w:cstheme="minorHAnsi"/>
          <w:lang w:val="es-ES"/>
        </w:rPr>
      </w:pPr>
      <w:r>
        <w:rPr>
          <w:rFonts w:asciiTheme="minorHAnsi" w:hAnsiTheme="minorHAnsi" w:cstheme="minorHAnsi"/>
          <w:lang w:val="es-ES"/>
        </w:rPr>
        <w:br w:type="page"/>
      </w:r>
    </w:p>
    <w:tbl>
      <w:tblPr>
        <w:tblW w:w="9152"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0" w:type="dxa"/>
          <w:right w:w="0" w:type="dxa"/>
        </w:tblCellMar>
        <w:tblLook w:val="04A0" w:firstRow="1" w:lastRow="0" w:firstColumn="1" w:lastColumn="0" w:noHBand="0" w:noVBand="1"/>
      </w:tblPr>
      <w:tblGrid>
        <w:gridCol w:w="2586"/>
        <w:gridCol w:w="6566"/>
      </w:tblGrid>
      <w:tr w:rsidR="00351D39" w:rsidRPr="002150BE" w14:paraId="37C4F427" w14:textId="77777777" w:rsidTr="006A35CD">
        <w:trPr>
          <w:trHeight w:val="397"/>
          <w:jc w:val="center"/>
        </w:trPr>
        <w:tc>
          <w:tcPr>
            <w:tcW w:w="9152" w:type="dxa"/>
            <w:gridSpan w:val="2"/>
            <w:shd w:val="clear" w:color="auto" w:fill="404040" w:themeFill="text1" w:themeFillTint="BF"/>
            <w:tcMar>
              <w:top w:w="0" w:type="dxa"/>
              <w:left w:w="70" w:type="dxa"/>
              <w:bottom w:w="0" w:type="dxa"/>
              <w:right w:w="70" w:type="dxa"/>
            </w:tcMar>
            <w:vAlign w:val="center"/>
          </w:tcPr>
          <w:p w14:paraId="1C20F789" w14:textId="77777777" w:rsidR="00351D39" w:rsidRPr="002150BE" w:rsidRDefault="00351D39" w:rsidP="006A35CD">
            <w:pPr>
              <w:spacing w:after="0" w:line="240" w:lineRule="auto"/>
              <w:jc w:val="center"/>
              <w:rPr>
                <w:rFonts w:asciiTheme="minorHAnsi" w:hAnsiTheme="minorHAnsi" w:cstheme="minorHAnsi"/>
                <w:b/>
                <w:bCs/>
                <w:color w:val="FFFFFF" w:themeColor="background1"/>
                <w:lang w:eastAsia="es-MX"/>
              </w:rPr>
            </w:pPr>
            <w:bookmarkStart w:id="69" w:name="_Hlk209010098"/>
            <w:r w:rsidRPr="002150BE">
              <w:rPr>
                <w:rFonts w:asciiTheme="minorHAnsi" w:hAnsiTheme="minorHAnsi" w:cstheme="minorHAnsi"/>
                <w:b/>
                <w:bCs/>
                <w:color w:val="FFFFFF" w:themeColor="background1"/>
                <w:lang w:eastAsia="es-MX"/>
              </w:rPr>
              <w:lastRenderedPageBreak/>
              <w:t>Anexo 1</w:t>
            </w:r>
            <w:r w:rsidR="003840AF" w:rsidRPr="002150BE">
              <w:rPr>
                <w:rFonts w:asciiTheme="minorHAnsi" w:hAnsiTheme="minorHAnsi" w:cstheme="minorHAnsi"/>
                <w:b/>
                <w:bCs/>
                <w:color w:val="FFFFFF" w:themeColor="background1"/>
                <w:lang w:eastAsia="es-MX"/>
              </w:rPr>
              <w:t>3</w:t>
            </w:r>
            <w:r w:rsidRPr="002150BE">
              <w:rPr>
                <w:rFonts w:asciiTheme="minorHAnsi" w:hAnsiTheme="minorHAnsi" w:cstheme="minorHAnsi"/>
                <w:b/>
                <w:bCs/>
                <w:color w:val="FFFFFF" w:themeColor="background1"/>
                <w:lang w:eastAsia="es-MX"/>
              </w:rPr>
              <w:t>. Ficha Técnica de datos generales de la evaluación</w:t>
            </w:r>
          </w:p>
        </w:tc>
      </w:tr>
      <w:tr w:rsidR="00351D39" w:rsidRPr="002150BE" w14:paraId="196C7997" w14:textId="77777777" w:rsidTr="00C25B29">
        <w:trPr>
          <w:trHeight w:val="580"/>
          <w:jc w:val="center"/>
        </w:trPr>
        <w:tc>
          <w:tcPr>
            <w:tcW w:w="2586" w:type="dxa"/>
            <w:tcMar>
              <w:top w:w="0" w:type="dxa"/>
              <w:left w:w="70" w:type="dxa"/>
              <w:bottom w:w="0" w:type="dxa"/>
              <w:right w:w="70" w:type="dxa"/>
            </w:tcMar>
            <w:vAlign w:val="center"/>
            <w:hideMark/>
          </w:tcPr>
          <w:p w14:paraId="19D73B2F" w14:textId="77777777" w:rsidR="00351D39" w:rsidRPr="00C25B29" w:rsidRDefault="00351D39" w:rsidP="006A35CD">
            <w:pPr>
              <w:spacing w:after="0" w:line="240" w:lineRule="auto"/>
              <w:jc w:val="left"/>
              <w:rPr>
                <w:rFonts w:cs="Arial"/>
                <w:b/>
                <w:bCs/>
                <w:sz w:val="18"/>
                <w:szCs w:val="18"/>
                <w:lang w:eastAsia="es-MX"/>
              </w:rPr>
            </w:pPr>
            <w:r w:rsidRPr="00C25B29">
              <w:rPr>
                <w:rFonts w:cs="Arial"/>
                <w:b/>
                <w:bCs/>
                <w:sz w:val="18"/>
                <w:szCs w:val="18"/>
                <w:lang w:eastAsia="es-MX"/>
              </w:rPr>
              <w:t>Nombre de la evaluación</w:t>
            </w:r>
          </w:p>
        </w:tc>
        <w:tc>
          <w:tcPr>
            <w:tcW w:w="6566" w:type="dxa"/>
            <w:tcMar>
              <w:top w:w="0" w:type="dxa"/>
              <w:left w:w="70" w:type="dxa"/>
              <w:bottom w:w="0" w:type="dxa"/>
              <w:right w:w="70" w:type="dxa"/>
            </w:tcMar>
            <w:vAlign w:val="center"/>
            <w:hideMark/>
          </w:tcPr>
          <w:p w14:paraId="71064AB2" w14:textId="77777777" w:rsidR="00351D39" w:rsidRPr="00C25B29" w:rsidRDefault="00965AE5" w:rsidP="006A35CD">
            <w:pPr>
              <w:spacing w:after="0" w:line="240" w:lineRule="auto"/>
              <w:jc w:val="center"/>
              <w:rPr>
                <w:rFonts w:cs="Arial"/>
                <w:bCs/>
                <w:sz w:val="18"/>
                <w:szCs w:val="18"/>
                <w:lang w:eastAsia="es-MX"/>
              </w:rPr>
            </w:pPr>
            <w:r w:rsidRPr="00C25B29">
              <w:rPr>
                <w:rFonts w:cs="Arial"/>
                <w:bCs/>
                <w:sz w:val="18"/>
                <w:szCs w:val="18"/>
                <w:lang w:eastAsia="es-MX"/>
              </w:rPr>
              <w:t>Evaluación de Diseño</w:t>
            </w:r>
          </w:p>
        </w:tc>
      </w:tr>
      <w:tr w:rsidR="00351D39" w:rsidRPr="002150BE" w14:paraId="1380E665" w14:textId="77777777" w:rsidTr="00965AE5">
        <w:trPr>
          <w:trHeight w:val="620"/>
          <w:jc w:val="center"/>
        </w:trPr>
        <w:tc>
          <w:tcPr>
            <w:tcW w:w="2586" w:type="dxa"/>
            <w:tcMar>
              <w:top w:w="0" w:type="dxa"/>
              <w:left w:w="70" w:type="dxa"/>
              <w:bottom w:w="0" w:type="dxa"/>
              <w:right w:w="70" w:type="dxa"/>
            </w:tcMar>
            <w:vAlign w:val="center"/>
            <w:hideMark/>
          </w:tcPr>
          <w:p w14:paraId="7181511F" w14:textId="77777777" w:rsidR="00351D39" w:rsidRPr="00C25B29" w:rsidRDefault="00351D39" w:rsidP="006A35CD">
            <w:pPr>
              <w:spacing w:after="0" w:line="240" w:lineRule="auto"/>
              <w:jc w:val="left"/>
              <w:rPr>
                <w:rFonts w:cs="Arial"/>
                <w:b/>
                <w:bCs/>
                <w:sz w:val="18"/>
                <w:szCs w:val="18"/>
                <w:lang w:eastAsia="es-MX"/>
              </w:rPr>
            </w:pPr>
            <w:r w:rsidRPr="00C25B29">
              <w:rPr>
                <w:rFonts w:cs="Arial"/>
                <w:b/>
                <w:bCs/>
                <w:sz w:val="18"/>
                <w:szCs w:val="18"/>
                <w:lang w:eastAsia="es-MX"/>
              </w:rPr>
              <w:t>Nombre y clave del programa evaluado</w:t>
            </w:r>
          </w:p>
        </w:tc>
        <w:tc>
          <w:tcPr>
            <w:tcW w:w="6566" w:type="dxa"/>
            <w:tcMar>
              <w:top w:w="0" w:type="dxa"/>
              <w:left w:w="70" w:type="dxa"/>
              <w:bottom w:w="0" w:type="dxa"/>
              <w:right w:w="70" w:type="dxa"/>
            </w:tcMar>
            <w:vAlign w:val="center"/>
            <w:hideMark/>
          </w:tcPr>
          <w:p w14:paraId="0912061B" w14:textId="77777777" w:rsidR="00351D39" w:rsidRPr="00C25B29" w:rsidRDefault="00965AE5" w:rsidP="006A35CD">
            <w:pPr>
              <w:spacing w:after="0" w:line="240" w:lineRule="auto"/>
              <w:jc w:val="center"/>
              <w:rPr>
                <w:rFonts w:cs="Arial"/>
                <w:bCs/>
                <w:sz w:val="18"/>
                <w:szCs w:val="18"/>
                <w:lang w:eastAsia="es-MX"/>
              </w:rPr>
            </w:pPr>
            <w:r w:rsidRPr="00C25B29">
              <w:rPr>
                <w:rFonts w:cs="Arial"/>
                <w:bCs/>
                <w:sz w:val="18"/>
                <w:szCs w:val="18"/>
                <w:lang w:eastAsia="es-MX"/>
              </w:rPr>
              <w:t>E053: Servicios de Educación Superior y Posgrado de Calidad</w:t>
            </w:r>
          </w:p>
        </w:tc>
      </w:tr>
      <w:tr w:rsidR="00351D39" w:rsidRPr="002150BE" w14:paraId="40D1135F" w14:textId="77777777" w:rsidTr="00BA4DE6">
        <w:trPr>
          <w:trHeight w:val="510"/>
          <w:jc w:val="center"/>
        </w:trPr>
        <w:tc>
          <w:tcPr>
            <w:tcW w:w="2586" w:type="dxa"/>
            <w:tcMar>
              <w:top w:w="0" w:type="dxa"/>
              <w:left w:w="70" w:type="dxa"/>
              <w:bottom w:w="0" w:type="dxa"/>
              <w:right w:w="70" w:type="dxa"/>
            </w:tcMar>
            <w:vAlign w:val="center"/>
            <w:hideMark/>
          </w:tcPr>
          <w:p w14:paraId="53136717" w14:textId="77777777" w:rsidR="00351D39" w:rsidRPr="00C25B29" w:rsidRDefault="00351D39" w:rsidP="006A35CD">
            <w:pPr>
              <w:shd w:val="clear" w:color="000000" w:fill="FFFFFF"/>
              <w:spacing w:after="0" w:line="240" w:lineRule="auto"/>
              <w:jc w:val="left"/>
              <w:textAlignment w:val="center"/>
              <w:rPr>
                <w:rFonts w:cs="Arial"/>
                <w:b/>
                <w:bCs/>
                <w:sz w:val="18"/>
                <w:szCs w:val="18"/>
                <w:lang w:eastAsia="es-MX"/>
              </w:rPr>
            </w:pPr>
            <w:r w:rsidRPr="00C25B29">
              <w:rPr>
                <w:rFonts w:cs="Arial"/>
                <w:b/>
                <w:bCs/>
                <w:sz w:val="18"/>
                <w:szCs w:val="18"/>
                <w:lang w:eastAsia="es-MX"/>
              </w:rPr>
              <w:t>Ramo</w:t>
            </w:r>
          </w:p>
        </w:tc>
        <w:tc>
          <w:tcPr>
            <w:tcW w:w="6566" w:type="dxa"/>
            <w:tcMar>
              <w:top w:w="0" w:type="dxa"/>
              <w:left w:w="70" w:type="dxa"/>
              <w:bottom w:w="0" w:type="dxa"/>
              <w:right w:w="70" w:type="dxa"/>
            </w:tcMar>
            <w:vAlign w:val="center"/>
            <w:hideMark/>
          </w:tcPr>
          <w:p w14:paraId="2A66B240" w14:textId="4BE5CA4E" w:rsidR="00351D39" w:rsidRPr="00C25B29" w:rsidRDefault="00BA4DE6" w:rsidP="006A35CD">
            <w:pPr>
              <w:spacing w:after="0" w:line="240" w:lineRule="auto"/>
              <w:jc w:val="center"/>
              <w:rPr>
                <w:rFonts w:cs="Arial"/>
                <w:bCs/>
                <w:sz w:val="18"/>
                <w:szCs w:val="18"/>
                <w:lang w:eastAsia="es-MX"/>
              </w:rPr>
            </w:pPr>
            <w:r w:rsidRPr="00C25B29">
              <w:rPr>
                <w:rFonts w:cs="Arial"/>
                <w:bCs/>
                <w:sz w:val="18"/>
                <w:szCs w:val="18"/>
                <w:lang w:eastAsia="es-MX"/>
              </w:rPr>
              <w:t>05 Educación Pública y Cultura</w:t>
            </w:r>
          </w:p>
        </w:tc>
      </w:tr>
      <w:tr w:rsidR="00351D39" w:rsidRPr="002150BE" w14:paraId="0BAD762B" w14:textId="77777777" w:rsidTr="00965AE5">
        <w:trPr>
          <w:trHeight w:val="743"/>
          <w:jc w:val="center"/>
        </w:trPr>
        <w:tc>
          <w:tcPr>
            <w:tcW w:w="2586" w:type="dxa"/>
            <w:tcMar>
              <w:top w:w="0" w:type="dxa"/>
              <w:left w:w="70" w:type="dxa"/>
              <w:bottom w:w="0" w:type="dxa"/>
              <w:right w:w="70" w:type="dxa"/>
            </w:tcMar>
            <w:vAlign w:val="center"/>
            <w:hideMark/>
          </w:tcPr>
          <w:p w14:paraId="2FE10059" w14:textId="77777777" w:rsidR="00351D39" w:rsidRPr="00C25B29" w:rsidRDefault="00351D39" w:rsidP="006A35CD">
            <w:pPr>
              <w:shd w:val="clear" w:color="000000" w:fill="FFFFFF"/>
              <w:spacing w:after="0" w:line="240" w:lineRule="auto"/>
              <w:jc w:val="left"/>
              <w:textAlignment w:val="center"/>
              <w:rPr>
                <w:rFonts w:cs="Arial"/>
                <w:b/>
                <w:bCs/>
                <w:sz w:val="18"/>
                <w:szCs w:val="18"/>
                <w:lang w:eastAsia="es-MX"/>
              </w:rPr>
            </w:pPr>
            <w:r w:rsidRPr="00C25B29">
              <w:rPr>
                <w:rFonts w:cs="Arial"/>
                <w:b/>
                <w:bCs/>
                <w:sz w:val="18"/>
                <w:szCs w:val="18"/>
                <w:lang w:eastAsia="es-MX"/>
              </w:rPr>
              <w:t xml:space="preserve">Unidad(es) Responsable(s) </w:t>
            </w:r>
          </w:p>
        </w:tc>
        <w:tc>
          <w:tcPr>
            <w:tcW w:w="6566" w:type="dxa"/>
            <w:tcMar>
              <w:top w:w="0" w:type="dxa"/>
              <w:left w:w="70" w:type="dxa"/>
              <w:bottom w:w="0" w:type="dxa"/>
              <w:right w:w="70" w:type="dxa"/>
            </w:tcMar>
            <w:vAlign w:val="center"/>
            <w:hideMark/>
          </w:tcPr>
          <w:p w14:paraId="65D73231" w14:textId="77777777" w:rsidR="00351D39" w:rsidRPr="00C25B29" w:rsidRDefault="00965AE5" w:rsidP="006A35CD">
            <w:pPr>
              <w:spacing w:after="0" w:line="240" w:lineRule="auto"/>
              <w:jc w:val="center"/>
              <w:rPr>
                <w:rFonts w:cs="Arial"/>
                <w:bCs/>
                <w:sz w:val="18"/>
                <w:szCs w:val="18"/>
                <w:lang w:eastAsia="es-MX"/>
              </w:rPr>
            </w:pPr>
            <w:r w:rsidRPr="00C25B29">
              <w:rPr>
                <w:rFonts w:cs="Arial"/>
                <w:bCs/>
                <w:sz w:val="18"/>
                <w:szCs w:val="18"/>
                <w:lang w:eastAsia="es-MX"/>
              </w:rPr>
              <w:t>Universidad Tecnológica de Culiacán</w:t>
            </w:r>
          </w:p>
        </w:tc>
      </w:tr>
      <w:tr w:rsidR="00351D39" w:rsidRPr="002150BE" w14:paraId="47DB0D95" w14:textId="77777777" w:rsidTr="006A35CD">
        <w:trPr>
          <w:trHeight w:val="667"/>
          <w:jc w:val="center"/>
        </w:trPr>
        <w:tc>
          <w:tcPr>
            <w:tcW w:w="2586" w:type="dxa"/>
            <w:tcMar>
              <w:top w:w="0" w:type="dxa"/>
              <w:left w:w="70" w:type="dxa"/>
              <w:bottom w:w="0" w:type="dxa"/>
              <w:right w:w="70" w:type="dxa"/>
            </w:tcMar>
            <w:vAlign w:val="center"/>
            <w:hideMark/>
          </w:tcPr>
          <w:p w14:paraId="189B0679" w14:textId="77777777" w:rsidR="00351D39" w:rsidRPr="00C25B29" w:rsidRDefault="00351D39" w:rsidP="006A35CD">
            <w:pPr>
              <w:shd w:val="clear" w:color="000000" w:fill="FFFFFF"/>
              <w:spacing w:after="0" w:line="240" w:lineRule="auto"/>
              <w:jc w:val="left"/>
              <w:textAlignment w:val="center"/>
              <w:rPr>
                <w:rFonts w:cs="Arial"/>
                <w:b/>
                <w:bCs/>
                <w:sz w:val="18"/>
                <w:szCs w:val="18"/>
                <w:lang w:eastAsia="es-MX"/>
              </w:rPr>
            </w:pPr>
            <w:r w:rsidRPr="00C25B29">
              <w:rPr>
                <w:rFonts w:cs="Arial"/>
                <w:b/>
                <w:bCs/>
                <w:sz w:val="18"/>
                <w:szCs w:val="18"/>
                <w:lang w:eastAsia="es-MX"/>
              </w:rPr>
              <w:t>PAE de origen</w:t>
            </w:r>
          </w:p>
        </w:tc>
        <w:tc>
          <w:tcPr>
            <w:tcW w:w="6566" w:type="dxa"/>
            <w:tcMar>
              <w:top w:w="0" w:type="dxa"/>
              <w:left w:w="70" w:type="dxa"/>
              <w:bottom w:w="0" w:type="dxa"/>
              <w:right w:w="70" w:type="dxa"/>
            </w:tcMar>
            <w:vAlign w:val="center"/>
            <w:hideMark/>
          </w:tcPr>
          <w:p w14:paraId="0E5401F0" w14:textId="77777777" w:rsidR="00351D39" w:rsidRPr="00C25B29" w:rsidRDefault="00351D39" w:rsidP="006A35CD">
            <w:pPr>
              <w:spacing w:after="0" w:line="240" w:lineRule="auto"/>
              <w:jc w:val="center"/>
              <w:rPr>
                <w:rFonts w:cs="Arial"/>
                <w:bCs/>
                <w:sz w:val="18"/>
                <w:szCs w:val="18"/>
                <w:lang w:eastAsia="es-MX"/>
              </w:rPr>
            </w:pPr>
            <w:r w:rsidRPr="00C25B29">
              <w:rPr>
                <w:rFonts w:cs="Arial"/>
                <w:bCs/>
                <w:sz w:val="18"/>
                <w:szCs w:val="18"/>
                <w:lang w:eastAsia="es-MX"/>
              </w:rPr>
              <w:t>PAE 2025</w:t>
            </w:r>
          </w:p>
        </w:tc>
      </w:tr>
      <w:tr w:rsidR="00351D39" w:rsidRPr="002150BE" w14:paraId="291BF1F1" w14:textId="77777777" w:rsidTr="006A35CD">
        <w:trPr>
          <w:trHeight w:val="691"/>
          <w:jc w:val="center"/>
        </w:trPr>
        <w:tc>
          <w:tcPr>
            <w:tcW w:w="2586" w:type="dxa"/>
            <w:tcMar>
              <w:top w:w="0" w:type="dxa"/>
              <w:left w:w="70" w:type="dxa"/>
              <w:bottom w:w="0" w:type="dxa"/>
              <w:right w:w="70" w:type="dxa"/>
            </w:tcMar>
            <w:vAlign w:val="center"/>
            <w:hideMark/>
          </w:tcPr>
          <w:p w14:paraId="39A4EC37" w14:textId="77777777" w:rsidR="00351D39" w:rsidRPr="00C25B29" w:rsidRDefault="00351D39" w:rsidP="006A35CD">
            <w:pPr>
              <w:shd w:val="clear" w:color="000000" w:fill="FFFFFF"/>
              <w:spacing w:after="0" w:line="240" w:lineRule="auto"/>
              <w:jc w:val="left"/>
              <w:textAlignment w:val="center"/>
              <w:rPr>
                <w:rFonts w:cs="Arial"/>
                <w:b/>
                <w:bCs/>
                <w:sz w:val="18"/>
                <w:szCs w:val="18"/>
                <w:lang w:eastAsia="es-MX"/>
              </w:rPr>
            </w:pPr>
            <w:r w:rsidRPr="00C25B29">
              <w:rPr>
                <w:rFonts w:cs="Arial"/>
                <w:b/>
                <w:bCs/>
                <w:sz w:val="18"/>
                <w:szCs w:val="18"/>
                <w:lang w:eastAsia="es-MX"/>
              </w:rPr>
              <w:t>Año de conclusión y entrega de la evaluación</w:t>
            </w:r>
          </w:p>
        </w:tc>
        <w:tc>
          <w:tcPr>
            <w:tcW w:w="6566" w:type="dxa"/>
            <w:tcMar>
              <w:top w:w="0" w:type="dxa"/>
              <w:left w:w="70" w:type="dxa"/>
              <w:bottom w:w="0" w:type="dxa"/>
              <w:right w:w="70" w:type="dxa"/>
            </w:tcMar>
            <w:vAlign w:val="center"/>
            <w:hideMark/>
          </w:tcPr>
          <w:p w14:paraId="0706C0B7" w14:textId="77777777" w:rsidR="00351D39" w:rsidRPr="00C25B29" w:rsidRDefault="00351D39" w:rsidP="006A35CD">
            <w:pPr>
              <w:spacing w:after="0" w:line="240" w:lineRule="auto"/>
              <w:jc w:val="center"/>
              <w:rPr>
                <w:rFonts w:cs="Arial"/>
                <w:bCs/>
                <w:sz w:val="18"/>
                <w:szCs w:val="18"/>
                <w:lang w:eastAsia="es-MX"/>
              </w:rPr>
            </w:pPr>
            <w:r w:rsidRPr="00C25B29">
              <w:rPr>
                <w:rFonts w:cs="Arial"/>
                <w:bCs/>
                <w:sz w:val="18"/>
                <w:szCs w:val="18"/>
                <w:lang w:eastAsia="es-MX"/>
              </w:rPr>
              <w:t>2025</w:t>
            </w:r>
          </w:p>
        </w:tc>
      </w:tr>
      <w:tr w:rsidR="00351D39" w:rsidRPr="002150BE" w14:paraId="152A340D" w14:textId="77777777" w:rsidTr="006A35CD">
        <w:trPr>
          <w:trHeight w:val="523"/>
          <w:jc w:val="center"/>
        </w:trPr>
        <w:tc>
          <w:tcPr>
            <w:tcW w:w="2586" w:type="dxa"/>
            <w:tcMar>
              <w:top w:w="0" w:type="dxa"/>
              <w:left w:w="70" w:type="dxa"/>
              <w:bottom w:w="0" w:type="dxa"/>
              <w:right w:w="70" w:type="dxa"/>
            </w:tcMar>
            <w:vAlign w:val="center"/>
            <w:hideMark/>
          </w:tcPr>
          <w:p w14:paraId="301D6CA4" w14:textId="77777777" w:rsidR="00351D39" w:rsidRPr="00C25B29" w:rsidRDefault="00351D39" w:rsidP="006A35CD">
            <w:pPr>
              <w:shd w:val="clear" w:color="000000" w:fill="FFFFFF"/>
              <w:spacing w:after="0" w:line="240" w:lineRule="auto"/>
              <w:jc w:val="left"/>
              <w:textAlignment w:val="center"/>
              <w:rPr>
                <w:rFonts w:cs="Arial"/>
                <w:b/>
                <w:bCs/>
                <w:sz w:val="18"/>
                <w:szCs w:val="18"/>
                <w:lang w:eastAsia="es-MX"/>
              </w:rPr>
            </w:pPr>
            <w:r w:rsidRPr="00C25B29">
              <w:rPr>
                <w:rFonts w:cs="Arial"/>
                <w:b/>
                <w:bCs/>
                <w:sz w:val="18"/>
                <w:szCs w:val="18"/>
                <w:lang w:eastAsia="es-MX"/>
              </w:rPr>
              <w:t>Tipo de evaluación</w:t>
            </w:r>
          </w:p>
        </w:tc>
        <w:tc>
          <w:tcPr>
            <w:tcW w:w="6566" w:type="dxa"/>
            <w:tcMar>
              <w:top w:w="0" w:type="dxa"/>
              <w:left w:w="70" w:type="dxa"/>
              <w:bottom w:w="0" w:type="dxa"/>
              <w:right w:w="70" w:type="dxa"/>
            </w:tcMar>
            <w:vAlign w:val="center"/>
            <w:hideMark/>
          </w:tcPr>
          <w:p w14:paraId="73DD8AFE" w14:textId="77777777" w:rsidR="00351D39" w:rsidRPr="00C25B29" w:rsidRDefault="00351D39" w:rsidP="006A35CD">
            <w:pPr>
              <w:spacing w:after="0" w:line="240" w:lineRule="auto"/>
              <w:jc w:val="center"/>
              <w:rPr>
                <w:rFonts w:cs="Arial"/>
                <w:bCs/>
                <w:sz w:val="18"/>
                <w:szCs w:val="18"/>
                <w:lang w:eastAsia="es-MX"/>
              </w:rPr>
            </w:pPr>
            <w:r w:rsidRPr="00C25B29">
              <w:rPr>
                <w:rFonts w:cs="Arial"/>
                <w:bCs/>
                <w:sz w:val="18"/>
                <w:szCs w:val="18"/>
                <w:lang w:eastAsia="es-MX"/>
              </w:rPr>
              <w:t>Diseño</w:t>
            </w:r>
          </w:p>
        </w:tc>
      </w:tr>
      <w:tr w:rsidR="00351D39" w:rsidRPr="002150BE" w14:paraId="4F401C3E" w14:textId="77777777" w:rsidTr="006A35CD">
        <w:trPr>
          <w:trHeight w:val="812"/>
          <w:jc w:val="center"/>
        </w:trPr>
        <w:tc>
          <w:tcPr>
            <w:tcW w:w="2586" w:type="dxa"/>
            <w:tcMar>
              <w:top w:w="0" w:type="dxa"/>
              <w:left w:w="70" w:type="dxa"/>
              <w:bottom w:w="0" w:type="dxa"/>
              <w:right w:w="70" w:type="dxa"/>
            </w:tcMar>
            <w:vAlign w:val="center"/>
            <w:hideMark/>
          </w:tcPr>
          <w:p w14:paraId="0F1BA148" w14:textId="77777777" w:rsidR="00351D39" w:rsidRPr="00C25B29" w:rsidRDefault="00351D39" w:rsidP="006A35CD">
            <w:pPr>
              <w:shd w:val="clear" w:color="000000" w:fill="FFFFFF"/>
              <w:spacing w:after="0" w:line="240" w:lineRule="auto"/>
              <w:jc w:val="left"/>
              <w:textAlignment w:val="center"/>
              <w:rPr>
                <w:rFonts w:cs="Arial"/>
                <w:b/>
                <w:bCs/>
                <w:sz w:val="18"/>
                <w:szCs w:val="18"/>
                <w:lang w:eastAsia="es-MX"/>
              </w:rPr>
            </w:pPr>
            <w:r w:rsidRPr="00C25B29">
              <w:rPr>
                <w:rFonts w:cs="Arial"/>
                <w:b/>
                <w:bCs/>
                <w:sz w:val="18"/>
                <w:szCs w:val="18"/>
                <w:lang w:eastAsia="es-MX"/>
              </w:rPr>
              <w:t>Nombre de la instancia evaluadora</w:t>
            </w:r>
          </w:p>
        </w:tc>
        <w:tc>
          <w:tcPr>
            <w:tcW w:w="6566" w:type="dxa"/>
            <w:tcMar>
              <w:top w:w="0" w:type="dxa"/>
              <w:left w:w="70" w:type="dxa"/>
              <w:bottom w:w="0" w:type="dxa"/>
              <w:right w:w="70" w:type="dxa"/>
            </w:tcMar>
            <w:vAlign w:val="center"/>
            <w:hideMark/>
          </w:tcPr>
          <w:p w14:paraId="3206F05E" w14:textId="77777777" w:rsidR="00351D39" w:rsidRPr="00C25B29" w:rsidRDefault="00351D39" w:rsidP="006A35CD">
            <w:pPr>
              <w:spacing w:after="0" w:line="240" w:lineRule="auto"/>
              <w:jc w:val="center"/>
              <w:rPr>
                <w:rFonts w:cs="Arial"/>
                <w:bCs/>
                <w:sz w:val="18"/>
                <w:szCs w:val="18"/>
                <w:lang w:eastAsia="es-MX"/>
              </w:rPr>
            </w:pPr>
            <w:r w:rsidRPr="00C25B29">
              <w:rPr>
                <w:rFonts w:cs="Arial"/>
                <w:bCs/>
                <w:sz w:val="18"/>
                <w:szCs w:val="18"/>
                <w:lang w:eastAsia="es-MX"/>
              </w:rPr>
              <w:t>Dirección de Evaluación adscrita a la Subsecretaria de Planeación, Inversión y Financiamiento de la Secretaría de Administración y Finanzas, Gobierno del Estado de Sinaloa</w:t>
            </w:r>
          </w:p>
        </w:tc>
      </w:tr>
      <w:tr w:rsidR="00351D39" w:rsidRPr="002150BE" w14:paraId="100AD968" w14:textId="77777777" w:rsidTr="006A35CD">
        <w:trPr>
          <w:trHeight w:val="778"/>
          <w:jc w:val="center"/>
        </w:trPr>
        <w:tc>
          <w:tcPr>
            <w:tcW w:w="2586" w:type="dxa"/>
            <w:tcMar>
              <w:top w:w="0" w:type="dxa"/>
              <w:left w:w="70" w:type="dxa"/>
              <w:bottom w:w="0" w:type="dxa"/>
              <w:right w:w="70" w:type="dxa"/>
            </w:tcMar>
            <w:vAlign w:val="center"/>
            <w:hideMark/>
          </w:tcPr>
          <w:p w14:paraId="6988450C" w14:textId="77777777" w:rsidR="00351D39" w:rsidRPr="00C25B29" w:rsidRDefault="00351D39" w:rsidP="006A35CD">
            <w:pPr>
              <w:shd w:val="clear" w:color="000000" w:fill="FFFFFF"/>
              <w:spacing w:after="0" w:line="240" w:lineRule="auto"/>
              <w:jc w:val="left"/>
              <w:textAlignment w:val="center"/>
              <w:rPr>
                <w:rFonts w:cs="Arial"/>
                <w:b/>
                <w:bCs/>
                <w:sz w:val="18"/>
                <w:szCs w:val="18"/>
                <w:lang w:eastAsia="es-MX"/>
              </w:rPr>
            </w:pPr>
            <w:r w:rsidRPr="00C25B29">
              <w:rPr>
                <w:rFonts w:cs="Arial"/>
                <w:b/>
                <w:bCs/>
                <w:sz w:val="18"/>
                <w:szCs w:val="18"/>
                <w:lang w:eastAsia="es-MX"/>
              </w:rPr>
              <w:t>Nombre del(a) coordinador(a) de la evaluación</w:t>
            </w:r>
          </w:p>
        </w:tc>
        <w:tc>
          <w:tcPr>
            <w:tcW w:w="6566" w:type="dxa"/>
            <w:tcMar>
              <w:top w:w="0" w:type="dxa"/>
              <w:left w:w="70" w:type="dxa"/>
              <w:bottom w:w="0" w:type="dxa"/>
              <w:right w:w="70" w:type="dxa"/>
            </w:tcMar>
            <w:vAlign w:val="center"/>
            <w:hideMark/>
          </w:tcPr>
          <w:p w14:paraId="0FBD6CDE" w14:textId="77777777" w:rsidR="00351D39" w:rsidRPr="00C25B29" w:rsidRDefault="00351D39" w:rsidP="006A35CD">
            <w:pPr>
              <w:spacing w:after="0" w:line="240" w:lineRule="auto"/>
              <w:jc w:val="center"/>
              <w:rPr>
                <w:rFonts w:cs="Arial"/>
                <w:bCs/>
                <w:sz w:val="18"/>
                <w:szCs w:val="18"/>
                <w:lang w:eastAsia="es-MX"/>
              </w:rPr>
            </w:pPr>
            <w:r w:rsidRPr="00C25B29">
              <w:rPr>
                <w:rFonts w:cs="Arial"/>
                <w:bCs/>
                <w:sz w:val="18"/>
                <w:szCs w:val="18"/>
                <w:lang w:eastAsia="es-MX"/>
              </w:rPr>
              <w:t>Juan Diego Millán López</w:t>
            </w:r>
          </w:p>
          <w:p w14:paraId="2BCDC4FD" w14:textId="3DBDE16D" w:rsidR="00D928AB" w:rsidRPr="00C25B29" w:rsidRDefault="00D928AB" w:rsidP="00D928AB">
            <w:pPr>
              <w:spacing w:after="0" w:line="240" w:lineRule="auto"/>
              <w:rPr>
                <w:rFonts w:cs="Arial"/>
                <w:bCs/>
                <w:sz w:val="18"/>
                <w:szCs w:val="18"/>
                <w:lang w:eastAsia="es-MX"/>
              </w:rPr>
            </w:pPr>
          </w:p>
        </w:tc>
      </w:tr>
      <w:tr w:rsidR="00351D39" w:rsidRPr="002150BE" w14:paraId="7E821A00" w14:textId="77777777" w:rsidTr="000176E3">
        <w:trPr>
          <w:trHeight w:val="966"/>
          <w:jc w:val="center"/>
        </w:trPr>
        <w:tc>
          <w:tcPr>
            <w:tcW w:w="2586" w:type="dxa"/>
            <w:tcMar>
              <w:top w:w="0" w:type="dxa"/>
              <w:left w:w="70" w:type="dxa"/>
              <w:bottom w:w="0" w:type="dxa"/>
              <w:right w:w="70" w:type="dxa"/>
            </w:tcMar>
            <w:vAlign w:val="center"/>
            <w:hideMark/>
          </w:tcPr>
          <w:p w14:paraId="0B4326CD" w14:textId="77777777" w:rsidR="00351D39" w:rsidRPr="00C25B29" w:rsidRDefault="00351D39" w:rsidP="006A35CD">
            <w:pPr>
              <w:shd w:val="clear" w:color="000000" w:fill="FFFFFF"/>
              <w:spacing w:after="0" w:line="240" w:lineRule="auto"/>
              <w:jc w:val="left"/>
              <w:textAlignment w:val="center"/>
              <w:rPr>
                <w:rFonts w:cs="Arial"/>
                <w:b/>
                <w:bCs/>
                <w:sz w:val="18"/>
                <w:szCs w:val="18"/>
                <w:lang w:eastAsia="es-MX"/>
              </w:rPr>
            </w:pPr>
            <w:r w:rsidRPr="00C25B29">
              <w:rPr>
                <w:rFonts w:cs="Arial"/>
                <w:b/>
                <w:bCs/>
                <w:sz w:val="18"/>
                <w:szCs w:val="18"/>
                <w:lang w:eastAsia="es-MX"/>
              </w:rPr>
              <w:t>Nombre de los(as) principales colaboradores(as) de la evaluación</w:t>
            </w:r>
          </w:p>
        </w:tc>
        <w:tc>
          <w:tcPr>
            <w:tcW w:w="6566" w:type="dxa"/>
            <w:tcMar>
              <w:top w:w="0" w:type="dxa"/>
              <w:left w:w="70" w:type="dxa"/>
              <w:bottom w:w="0" w:type="dxa"/>
              <w:right w:w="70" w:type="dxa"/>
            </w:tcMar>
            <w:vAlign w:val="center"/>
            <w:hideMark/>
          </w:tcPr>
          <w:p w14:paraId="2A344CE8" w14:textId="1B0E5715" w:rsidR="00351D39" w:rsidRPr="00C25B29" w:rsidRDefault="00965AE5" w:rsidP="006A35CD">
            <w:pPr>
              <w:spacing w:after="0" w:line="240" w:lineRule="auto"/>
              <w:jc w:val="center"/>
              <w:rPr>
                <w:rFonts w:cs="Arial"/>
                <w:bCs/>
                <w:sz w:val="18"/>
                <w:szCs w:val="18"/>
                <w:lang w:val="pt-PT" w:eastAsia="es-MX"/>
              </w:rPr>
            </w:pPr>
            <w:r w:rsidRPr="00C25B29">
              <w:rPr>
                <w:rFonts w:cs="Arial"/>
                <w:bCs/>
                <w:sz w:val="18"/>
                <w:szCs w:val="18"/>
                <w:lang w:val="pt-PT" w:eastAsia="es-MX"/>
              </w:rPr>
              <w:t>Miguel Angel Rodelo Ruiz</w:t>
            </w:r>
          </w:p>
          <w:p w14:paraId="7EC75380" w14:textId="102F766E" w:rsidR="00965AE5" w:rsidRPr="00C25B29" w:rsidRDefault="00965AE5" w:rsidP="006A35CD">
            <w:pPr>
              <w:spacing w:after="0" w:line="240" w:lineRule="auto"/>
              <w:jc w:val="center"/>
              <w:rPr>
                <w:rFonts w:cs="Arial"/>
                <w:bCs/>
                <w:sz w:val="18"/>
                <w:szCs w:val="18"/>
                <w:lang w:val="pt-PT" w:eastAsia="es-MX"/>
              </w:rPr>
            </w:pPr>
            <w:r w:rsidRPr="00C25B29">
              <w:rPr>
                <w:rFonts w:cs="Arial"/>
                <w:bCs/>
                <w:sz w:val="18"/>
                <w:szCs w:val="18"/>
                <w:lang w:val="pt-PT" w:eastAsia="es-MX"/>
              </w:rPr>
              <w:t>Jorge Cruz Liévano</w:t>
            </w:r>
          </w:p>
          <w:p w14:paraId="164E4E6B" w14:textId="77777777" w:rsidR="00C25B29" w:rsidRPr="00C25B29" w:rsidRDefault="00C25B29" w:rsidP="006A35CD">
            <w:pPr>
              <w:spacing w:after="0" w:line="240" w:lineRule="auto"/>
              <w:jc w:val="center"/>
              <w:rPr>
                <w:rFonts w:cs="Arial"/>
                <w:bCs/>
                <w:sz w:val="18"/>
                <w:szCs w:val="18"/>
                <w:lang w:val="pt-PT" w:eastAsia="es-MX"/>
              </w:rPr>
            </w:pPr>
          </w:p>
          <w:p w14:paraId="3377303B" w14:textId="07DF1D7A" w:rsidR="00D928AB" w:rsidRPr="00C25B29" w:rsidRDefault="00D928AB" w:rsidP="006A35CD">
            <w:pPr>
              <w:spacing w:after="0" w:line="240" w:lineRule="auto"/>
              <w:jc w:val="center"/>
              <w:rPr>
                <w:rFonts w:cs="Arial"/>
                <w:bCs/>
                <w:sz w:val="18"/>
                <w:szCs w:val="18"/>
                <w:lang w:val="pt-PT" w:eastAsia="es-MX"/>
              </w:rPr>
            </w:pPr>
            <w:r w:rsidRPr="00C25B29">
              <w:rPr>
                <w:rFonts w:cs="Arial"/>
                <w:bCs/>
                <w:sz w:val="18"/>
                <w:szCs w:val="18"/>
                <w:lang w:val="pt-PT" w:eastAsia="es-MX"/>
              </w:rPr>
              <w:t>Juan Carlos Ríos Puga</w:t>
            </w:r>
          </w:p>
        </w:tc>
      </w:tr>
      <w:tr w:rsidR="00351D39" w:rsidRPr="002150BE" w14:paraId="6D810E2B" w14:textId="77777777" w:rsidTr="000176E3">
        <w:trPr>
          <w:trHeight w:val="996"/>
          <w:jc w:val="center"/>
        </w:trPr>
        <w:tc>
          <w:tcPr>
            <w:tcW w:w="2586" w:type="dxa"/>
            <w:tcMar>
              <w:top w:w="0" w:type="dxa"/>
              <w:left w:w="70" w:type="dxa"/>
              <w:bottom w:w="0" w:type="dxa"/>
              <w:right w:w="70" w:type="dxa"/>
            </w:tcMar>
            <w:vAlign w:val="center"/>
            <w:hideMark/>
          </w:tcPr>
          <w:p w14:paraId="602C78A5" w14:textId="77777777" w:rsidR="00351D39" w:rsidRPr="00C25B29" w:rsidRDefault="00351D39" w:rsidP="006A35CD">
            <w:pPr>
              <w:shd w:val="clear" w:color="000000" w:fill="FFFFFF"/>
              <w:spacing w:after="0" w:line="240" w:lineRule="auto"/>
              <w:jc w:val="left"/>
              <w:textAlignment w:val="center"/>
              <w:rPr>
                <w:rFonts w:cs="Arial"/>
                <w:b/>
                <w:bCs/>
                <w:sz w:val="18"/>
                <w:szCs w:val="18"/>
                <w:lang w:eastAsia="es-MX"/>
              </w:rPr>
            </w:pPr>
            <w:r w:rsidRPr="00C25B29">
              <w:rPr>
                <w:rFonts w:cs="Arial"/>
                <w:b/>
                <w:bCs/>
                <w:sz w:val="18"/>
                <w:szCs w:val="18"/>
                <w:lang w:eastAsia="es-MX"/>
              </w:rPr>
              <w:t>Unidad Administrativa Responsable de dar seguimiento a la evaluación</w:t>
            </w:r>
          </w:p>
        </w:tc>
        <w:tc>
          <w:tcPr>
            <w:tcW w:w="6566" w:type="dxa"/>
            <w:tcMar>
              <w:top w:w="0" w:type="dxa"/>
              <w:left w:w="70" w:type="dxa"/>
              <w:bottom w:w="0" w:type="dxa"/>
              <w:right w:w="70" w:type="dxa"/>
            </w:tcMar>
            <w:vAlign w:val="center"/>
            <w:hideMark/>
          </w:tcPr>
          <w:p w14:paraId="251D3B84" w14:textId="77777777" w:rsidR="00351D39" w:rsidRPr="00C25B29" w:rsidRDefault="000176E3" w:rsidP="006A35CD">
            <w:pPr>
              <w:spacing w:after="0" w:line="240" w:lineRule="auto"/>
              <w:jc w:val="center"/>
              <w:rPr>
                <w:rFonts w:cs="Arial"/>
                <w:bCs/>
                <w:sz w:val="18"/>
                <w:szCs w:val="18"/>
                <w:lang w:eastAsia="es-MX"/>
              </w:rPr>
            </w:pPr>
            <w:r w:rsidRPr="00C25B29">
              <w:rPr>
                <w:rFonts w:cs="Arial"/>
                <w:bCs/>
                <w:sz w:val="18"/>
                <w:szCs w:val="18"/>
                <w:lang w:eastAsia="es-MX"/>
              </w:rPr>
              <w:t>Subdirección de Planeación y Evaluación</w:t>
            </w:r>
          </w:p>
        </w:tc>
      </w:tr>
      <w:tr w:rsidR="00351D39" w:rsidRPr="002150BE" w14:paraId="36B61057" w14:textId="77777777" w:rsidTr="000176E3">
        <w:trPr>
          <w:trHeight w:val="939"/>
          <w:jc w:val="center"/>
        </w:trPr>
        <w:tc>
          <w:tcPr>
            <w:tcW w:w="2586" w:type="dxa"/>
            <w:tcMar>
              <w:top w:w="0" w:type="dxa"/>
              <w:left w:w="70" w:type="dxa"/>
              <w:bottom w:w="0" w:type="dxa"/>
              <w:right w:w="70" w:type="dxa"/>
            </w:tcMar>
            <w:vAlign w:val="center"/>
          </w:tcPr>
          <w:p w14:paraId="0B0971F3" w14:textId="77777777" w:rsidR="00351D39" w:rsidRPr="00C25B29" w:rsidRDefault="00351D39" w:rsidP="006A35CD">
            <w:pPr>
              <w:shd w:val="clear" w:color="000000" w:fill="FFFFFF"/>
              <w:spacing w:after="0" w:line="240" w:lineRule="auto"/>
              <w:jc w:val="left"/>
              <w:textAlignment w:val="center"/>
              <w:rPr>
                <w:rFonts w:cs="Arial"/>
                <w:b/>
                <w:bCs/>
                <w:sz w:val="18"/>
                <w:szCs w:val="18"/>
                <w:lang w:eastAsia="es-MX"/>
              </w:rPr>
            </w:pPr>
            <w:r w:rsidRPr="00C25B29">
              <w:rPr>
                <w:rFonts w:cs="Arial"/>
                <w:b/>
                <w:bCs/>
                <w:sz w:val="18"/>
                <w:szCs w:val="18"/>
                <w:lang w:eastAsia="es-MX"/>
              </w:rPr>
              <w:t>Nombre del funcionario en calidad de enlace responsable</w:t>
            </w:r>
          </w:p>
        </w:tc>
        <w:tc>
          <w:tcPr>
            <w:tcW w:w="6566" w:type="dxa"/>
            <w:tcMar>
              <w:top w:w="0" w:type="dxa"/>
              <w:left w:w="70" w:type="dxa"/>
              <w:bottom w:w="0" w:type="dxa"/>
              <w:right w:w="70" w:type="dxa"/>
            </w:tcMar>
            <w:vAlign w:val="center"/>
          </w:tcPr>
          <w:p w14:paraId="0465212B" w14:textId="67C2F1BF" w:rsidR="00351D39" w:rsidRPr="00C25B29" w:rsidRDefault="000176E3" w:rsidP="000176E3">
            <w:pPr>
              <w:spacing w:after="0" w:line="240" w:lineRule="auto"/>
              <w:jc w:val="center"/>
              <w:rPr>
                <w:rFonts w:cs="Arial"/>
                <w:bCs/>
                <w:sz w:val="18"/>
                <w:szCs w:val="18"/>
                <w:lang w:val="pt-PT" w:eastAsia="es-MX"/>
              </w:rPr>
            </w:pPr>
            <w:r w:rsidRPr="00C25B29">
              <w:rPr>
                <w:rFonts w:cs="Arial"/>
                <w:bCs/>
                <w:sz w:val="18"/>
                <w:szCs w:val="18"/>
                <w:lang w:val="pt-PT" w:eastAsia="es-MX"/>
              </w:rPr>
              <w:t>Miguel Angel Rodelo Ruiz</w:t>
            </w:r>
          </w:p>
        </w:tc>
      </w:tr>
      <w:tr w:rsidR="00351D39" w:rsidRPr="002150BE" w14:paraId="460F2D82" w14:textId="77777777" w:rsidTr="006A35CD">
        <w:trPr>
          <w:trHeight w:val="981"/>
          <w:jc w:val="center"/>
        </w:trPr>
        <w:tc>
          <w:tcPr>
            <w:tcW w:w="2586" w:type="dxa"/>
            <w:tcMar>
              <w:top w:w="0" w:type="dxa"/>
              <w:left w:w="70" w:type="dxa"/>
              <w:bottom w:w="0" w:type="dxa"/>
              <w:right w:w="70" w:type="dxa"/>
            </w:tcMar>
            <w:vAlign w:val="center"/>
            <w:hideMark/>
          </w:tcPr>
          <w:p w14:paraId="019DA969" w14:textId="77777777" w:rsidR="00351D39" w:rsidRPr="00C25B29" w:rsidRDefault="00351D39" w:rsidP="006A35CD">
            <w:pPr>
              <w:shd w:val="clear" w:color="000000" w:fill="FFFFFF"/>
              <w:spacing w:after="0" w:line="240" w:lineRule="auto"/>
              <w:jc w:val="left"/>
              <w:textAlignment w:val="center"/>
              <w:rPr>
                <w:rFonts w:cs="Arial"/>
                <w:b/>
                <w:bCs/>
                <w:sz w:val="18"/>
                <w:szCs w:val="18"/>
                <w:lang w:eastAsia="es-MX"/>
              </w:rPr>
            </w:pPr>
            <w:r w:rsidRPr="00C25B29">
              <w:rPr>
                <w:rFonts w:cs="Arial"/>
                <w:b/>
                <w:bCs/>
                <w:sz w:val="18"/>
                <w:szCs w:val="18"/>
                <w:lang w:eastAsia="es-MX"/>
              </w:rPr>
              <w:t>Forma de contratación de la instancia evaluadora</w:t>
            </w:r>
          </w:p>
        </w:tc>
        <w:tc>
          <w:tcPr>
            <w:tcW w:w="6566" w:type="dxa"/>
            <w:tcMar>
              <w:top w:w="0" w:type="dxa"/>
              <w:left w:w="70" w:type="dxa"/>
              <w:bottom w:w="0" w:type="dxa"/>
              <w:right w:w="70" w:type="dxa"/>
            </w:tcMar>
            <w:vAlign w:val="center"/>
          </w:tcPr>
          <w:p w14:paraId="1878BF6B" w14:textId="77777777" w:rsidR="00351D39" w:rsidRPr="00C25B29" w:rsidRDefault="00351D39" w:rsidP="006A35CD">
            <w:pPr>
              <w:spacing w:after="0" w:line="240" w:lineRule="auto"/>
              <w:jc w:val="center"/>
              <w:rPr>
                <w:rFonts w:cs="Arial"/>
                <w:bCs/>
                <w:sz w:val="18"/>
                <w:szCs w:val="18"/>
                <w:lang w:eastAsia="es-MX"/>
              </w:rPr>
            </w:pPr>
            <w:r w:rsidRPr="00C25B29">
              <w:rPr>
                <w:rFonts w:cs="Arial"/>
                <w:bCs/>
                <w:sz w:val="18"/>
                <w:szCs w:val="18"/>
                <w:lang w:eastAsia="es-MX"/>
              </w:rPr>
              <w:t>La Dirección de Evaluación adscrita a la Subsecretaría de Planeación, Inversión</w:t>
            </w:r>
          </w:p>
          <w:p w14:paraId="6B542E08" w14:textId="77777777" w:rsidR="00351D39" w:rsidRPr="00C25B29" w:rsidRDefault="00351D39" w:rsidP="006A35CD">
            <w:pPr>
              <w:spacing w:after="0" w:line="240" w:lineRule="auto"/>
              <w:jc w:val="center"/>
              <w:rPr>
                <w:rFonts w:cs="Arial"/>
                <w:bCs/>
                <w:sz w:val="18"/>
                <w:szCs w:val="18"/>
                <w:lang w:eastAsia="es-MX"/>
              </w:rPr>
            </w:pPr>
            <w:r w:rsidRPr="00C25B29">
              <w:rPr>
                <w:rFonts w:cs="Arial"/>
                <w:bCs/>
                <w:sz w:val="18"/>
                <w:szCs w:val="18"/>
                <w:lang w:eastAsia="es-MX"/>
              </w:rPr>
              <w:t>y Financiamiento de la Secretaría de Administración y Finanzas, Gobierno del</w:t>
            </w:r>
          </w:p>
          <w:p w14:paraId="1776DD29" w14:textId="77777777" w:rsidR="00351D39" w:rsidRPr="00C25B29" w:rsidRDefault="00351D39" w:rsidP="006A35CD">
            <w:pPr>
              <w:spacing w:after="0" w:line="240" w:lineRule="auto"/>
              <w:jc w:val="center"/>
              <w:rPr>
                <w:rFonts w:cs="Arial"/>
                <w:bCs/>
                <w:sz w:val="18"/>
                <w:szCs w:val="18"/>
                <w:lang w:eastAsia="es-MX"/>
              </w:rPr>
            </w:pPr>
            <w:r w:rsidRPr="00C25B29">
              <w:rPr>
                <w:rFonts w:cs="Arial"/>
                <w:bCs/>
                <w:sz w:val="18"/>
                <w:szCs w:val="18"/>
                <w:lang w:eastAsia="es-MX"/>
              </w:rPr>
              <w:t>Estado de Sinaloa fue la instancia evaluadora de la presente evaluación</w:t>
            </w:r>
          </w:p>
        </w:tc>
      </w:tr>
      <w:tr w:rsidR="00351D39" w:rsidRPr="002150BE" w14:paraId="3BE7138C" w14:textId="77777777" w:rsidTr="006A35CD">
        <w:trPr>
          <w:trHeight w:val="1122"/>
          <w:jc w:val="center"/>
        </w:trPr>
        <w:tc>
          <w:tcPr>
            <w:tcW w:w="2586" w:type="dxa"/>
            <w:tcMar>
              <w:top w:w="0" w:type="dxa"/>
              <w:left w:w="70" w:type="dxa"/>
              <w:bottom w:w="0" w:type="dxa"/>
              <w:right w:w="70" w:type="dxa"/>
            </w:tcMar>
            <w:vAlign w:val="center"/>
            <w:hideMark/>
          </w:tcPr>
          <w:p w14:paraId="4F51B63B" w14:textId="77777777" w:rsidR="00351D39" w:rsidRPr="00C25B29" w:rsidRDefault="00351D39" w:rsidP="006A35CD">
            <w:pPr>
              <w:shd w:val="clear" w:color="000000" w:fill="FFFFFF"/>
              <w:spacing w:after="0" w:line="240" w:lineRule="auto"/>
              <w:jc w:val="left"/>
              <w:textAlignment w:val="center"/>
              <w:rPr>
                <w:rFonts w:cs="Arial"/>
                <w:b/>
                <w:bCs/>
                <w:sz w:val="18"/>
                <w:szCs w:val="18"/>
                <w:lang w:eastAsia="es-MX"/>
              </w:rPr>
            </w:pPr>
            <w:r w:rsidRPr="00C25B29">
              <w:rPr>
                <w:rFonts w:cs="Arial"/>
                <w:b/>
                <w:bCs/>
                <w:sz w:val="18"/>
                <w:szCs w:val="18"/>
                <w:lang w:eastAsia="es-MX"/>
              </w:rPr>
              <w:t>Costo total de la evaluación con IVA incluido</w:t>
            </w:r>
          </w:p>
        </w:tc>
        <w:tc>
          <w:tcPr>
            <w:tcW w:w="6566" w:type="dxa"/>
            <w:tcMar>
              <w:top w:w="0" w:type="dxa"/>
              <w:left w:w="70" w:type="dxa"/>
              <w:bottom w:w="0" w:type="dxa"/>
              <w:right w:w="70" w:type="dxa"/>
            </w:tcMar>
            <w:vAlign w:val="center"/>
          </w:tcPr>
          <w:p w14:paraId="0CC8E5C1" w14:textId="77777777" w:rsidR="00351D39" w:rsidRPr="00C25B29" w:rsidRDefault="00351D39" w:rsidP="006A35CD">
            <w:pPr>
              <w:spacing w:after="0" w:line="240" w:lineRule="auto"/>
              <w:jc w:val="center"/>
              <w:rPr>
                <w:rFonts w:cs="Arial"/>
                <w:bCs/>
                <w:sz w:val="18"/>
                <w:szCs w:val="18"/>
                <w:lang w:eastAsia="es-MX"/>
              </w:rPr>
            </w:pPr>
            <w:r w:rsidRPr="00C25B29">
              <w:rPr>
                <w:rFonts w:cs="Arial"/>
                <w:bCs/>
                <w:sz w:val="18"/>
                <w:szCs w:val="18"/>
                <w:lang w:eastAsia="es-MX"/>
              </w:rPr>
              <w:t>La evaluación se llevó a cabo a través de la Dirección de Evaluación adscrita a</w:t>
            </w:r>
          </w:p>
          <w:p w14:paraId="1222DB4F" w14:textId="77777777" w:rsidR="00351D39" w:rsidRPr="00C25B29" w:rsidRDefault="00351D39" w:rsidP="006A35CD">
            <w:pPr>
              <w:spacing w:after="0" w:line="240" w:lineRule="auto"/>
              <w:jc w:val="center"/>
              <w:rPr>
                <w:rFonts w:cs="Arial"/>
                <w:bCs/>
                <w:sz w:val="18"/>
                <w:szCs w:val="18"/>
                <w:lang w:eastAsia="es-MX"/>
              </w:rPr>
            </w:pPr>
            <w:r w:rsidRPr="00C25B29">
              <w:rPr>
                <w:rFonts w:cs="Arial"/>
                <w:bCs/>
                <w:sz w:val="18"/>
                <w:szCs w:val="18"/>
                <w:lang w:eastAsia="es-MX"/>
              </w:rPr>
              <w:t>la Subsecretaria de Planeación, Inversión y Financiamiento de la Secretaría de</w:t>
            </w:r>
          </w:p>
          <w:p w14:paraId="5E441008" w14:textId="77777777" w:rsidR="00351D39" w:rsidRPr="00C25B29" w:rsidRDefault="00351D39" w:rsidP="006A35CD">
            <w:pPr>
              <w:spacing w:after="0" w:line="240" w:lineRule="auto"/>
              <w:jc w:val="center"/>
              <w:rPr>
                <w:rFonts w:cs="Arial"/>
                <w:bCs/>
                <w:sz w:val="18"/>
                <w:szCs w:val="18"/>
                <w:lang w:eastAsia="es-MX"/>
              </w:rPr>
            </w:pPr>
            <w:r w:rsidRPr="00C25B29">
              <w:rPr>
                <w:rFonts w:cs="Arial"/>
                <w:bCs/>
                <w:sz w:val="18"/>
                <w:szCs w:val="18"/>
                <w:lang w:eastAsia="es-MX"/>
              </w:rPr>
              <w:t>Administración y Finanzas, Gobierno del Estado de Sinaloa, ajena a la unidad</w:t>
            </w:r>
          </w:p>
          <w:p w14:paraId="7427F4CB" w14:textId="77777777" w:rsidR="00351D39" w:rsidRPr="00C25B29" w:rsidRDefault="00351D39" w:rsidP="006A35CD">
            <w:pPr>
              <w:spacing w:after="0" w:line="240" w:lineRule="auto"/>
              <w:jc w:val="center"/>
              <w:rPr>
                <w:rFonts w:cs="Arial"/>
                <w:bCs/>
                <w:sz w:val="18"/>
                <w:szCs w:val="18"/>
                <w:lang w:eastAsia="es-MX"/>
              </w:rPr>
            </w:pPr>
            <w:r w:rsidRPr="00C25B29">
              <w:rPr>
                <w:rFonts w:cs="Arial"/>
                <w:bCs/>
                <w:sz w:val="18"/>
                <w:szCs w:val="18"/>
                <w:lang w:eastAsia="es-MX"/>
              </w:rPr>
              <w:t>responsable del Pp</w:t>
            </w:r>
          </w:p>
        </w:tc>
      </w:tr>
      <w:tr w:rsidR="00351D39" w:rsidRPr="002150BE" w14:paraId="1C04D6F9" w14:textId="77777777" w:rsidTr="006A35CD">
        <w:trPr>
          <w:trHeight w:val="567"/>
          <w:jc w:val="center"/>
        </w:trPr>
        <w:tc>
          <w:tcPr>
            <w:tcW w:w="2586" w:type="dxa"/>
            <w:tcMar>
              <w:top w:w="0" w:type="dxa"/>
              <w:left w:w="70" w:type="dxa"/>
              <w:bottom w:w="0" w:type="dxa"/>
              <w:right w:w="70" w:type="dxa"/>
            </w:tcMar>
            <w:vAlign w:val="center"/>
            <w:hideMark/>
          </w:tcPr>
          <w:p w14:paraId="2AE5A8D1" w14:textId="77777777" w:rsidR="00351D39" w:rsidRPr="00C25B29" w:rsidRDefault="00351D39" w:rsidP="006A35CD">
            <w:pPr>
              <w:shd w:val="clear" w:color="000000" w:fill="FFFFFF"/>
              <w:spacing w:after="0" w:line="240" w:lineRule="auto"/>
              <w:jc w:val="left"/>
              <w:textAlignment w:val="center"/>
              <w:rPr>
                <w:rFonts w:cs="Arial"/>
                <w:b/>
                <w:bCs/>
                <w:sz w:val="18"/>
                <w:szCs w:val="18"/>
                <w:lang w:eastAsia="es-MX"/>
              </w:rPr>
            </w:pPr>
            <w:r w:rsidRPr="00C25B29">
              <w:rPr>
                <w:rFonts w:cs="Arial"/>
                <w:b/>
                <w:bCs/>
                <w:sz w:val="18"/>
                <w:szCs w:val="18"/>
                <w:lang w:eastAsia="es-MX"/>
              </w:rPr>
              <w:t>Fuente de financiamiento</w:t>
            </w:r>
          </w:p>
        </w:tc>
        <w:tc>
          <w:tcPr>
            <w:tcW w:w="6566" w:type="dxa"/>
            <w:tcMar>
              <w:top w:w="0" w:type="dxa"/>
              <w:left w:w="70" w:type="dxa"/>
              <w:bottom w:w="0" w:type="dxa"/>
              <w:right w:w="70" w:type="dxa"/>
            </w:tcMar>
            <w:vAlign w:val="center"/>
          </w:tcPr>
          <w:p w14:paraId="478A344A" w14:textId="77777777" w:rsidR="00351D39" w:rsidRPr="00C25B29" w:rsidRDefault="00351D39" w:rsidP="006A35CD">
            <w:pPr>
              <w:spacing w:after="0" w:line="240" w:lineRule="auto"/>
              <w:jc w:val="center"/>
              <w:rPr>
                <w:rFonts w:cs="Arial"/>
                <w:bCs/>
                <w:sz w:val="18"/>
                <w:szCs w:val="18"/>
                <w:lang w:eastAsia="es-MX"/>
              </w:rPr>
            </w:pPr>
            <w:r w:rsidRPr="00C25B29">
              <w:rPr>
                <w:rFonts w:cs="Arial"/>
                <w:bCs/>
                <w:sz w:val="18"/>
                <w:szCs w:val="18"/>
                <w:lang w:eastAsia="es-MX"/>
              </w:rPr>
              <w:t>Recurso estatal</w:t>
            </w:r>
          </w:p>
        </w:tc>
      </w:tr>
      <w:bookmarkEnd w:id="69"/>
    </w:tbl>
    <w:p w14:paraId="00B7CB01" w14:textId="77777777" w:rsidR="00D32674" w:rsidRPr="002150BE" w:rsidRDefault="00D32674" w:rsidP="007E1E04">
      <w:pPr>
        <w:rPr>
          <w:rFonts w:asciiTheme="minorHAnsi" w:hAnsiTheme="minorHAnsi" w:cstheme="minorHAnsi"/>
          <w:lang w:val="es-ES"/>
        </w:rPr>
      </w:pPr>
    </w:p>
    <w:sectPr w:rsidR="00D32674" w:rsidRPr="002150BE" w:rsidSect="0014229D">
      <w:footerReference w:type="default" r:id="rId30"/>
      <w:pgSz w:w="12240" w:h="15840" w:code="1"/>
      <w:pgMar w:top="1661" w:right="1701" w:bottom="1134" w:left="1701" w:header="284" w:footer="1077"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78EE7" w14:textId="77777777" w:rsidR="00021B51" w:rsidRDefault="00021B51" w:rsidP="0028627B">
      <w:pPr>
        <w:spacing w:after="0" w:line="240" w:lineRule="auto"/>
      </w:pPr>
      <w:r>
        <w:separator/>
      </w:r>
    </w:p>
  </w:endnote>
  <w:endnote w:type="continuationSeparator" w:id="0">
    <w:p w14:paraId="0490F24B" w14:textId="77777777" w:rsidR="00021B51" w:rsidRDefault="00021B51" w:rsidP="00286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Soberana Sans">
    <w:panose1 w:val="00000000000000000000"/>
    <w:charset w:val="00"/>
    <w:family w:val="modern"/>
    <w:notTrueType/>
    <w:pitch w:val="variable"/>
    <w:sig w:usb0="800000AF" w:usb1="4000204B" w:usb2="00000000" w:usb3="00000000" w:csb0="00000001" w:csb1="00000000"/>
  </w:font>
  <w:font w:name="Montserrat">
    <w:charset w:val="00"/>
    <w:family w:val="auto"/>
    <w:pitch w:val="variable"/>
    <w:sig w:usb0="2000020F" w:usb1="00000003" w:usb2="00000000" w:usb3="00000000" w:csb0="00000197" w:csb1="00000000"/>
  </w:font>
  <w:font w:name="Medium">
    <w:panose1 w:val="000006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2BA4B" w14:textId="77777777" w:rsidR="00F43EAE" w:rsidRDefault="00F43EAE" w:rsidP="00043D65">
    <w:pPr>
      <w:pStyle w:val="Piedepgina"/>
    </w:pPr>
    <w:r>
      <w:rPr>
        <w:b/>
        <w:bCs/>
        <w:noProof/>
        <w:lang w:eastAsia="es-MX"/>
      </w:rPr>
      <mc:AlternateContent>
        <mc:Choice Requires="wpg">
          <w:drawing>
            <wp:anchor distT="0" distB="0" distL="114300" distR="114300" simplePos="0" relativeHeight="251693056" behindDoc="0" locked="0" layoutInCell="1" allowOverlap="1" wp14:anchorId="60AA1A5E" wp14:editId="78C27FA8">
              <wp:simplePos x="0" y="0"/>
              <wp:positionH relativeFrom="column">
                <wp:posOffset>-1380386</wp:posOffset>
              </wp:positionH>
              <wp:positionV relativeFrom="paragraph">
                <wp:posOffset>516045</wp:posOffset>
              </wp:positionV>
              <wp:extent cx="8084185" cy="1551030"/>
              <wp:effectExtent l="0" t="0" r="0" b="0"/>
              <wp:wrapNone/>
              <wp:docPr id="892648880" name="Grupo 892648880"/>
              <wp:cNvGraphicFramePr/>
              <a:graphic xmlns:a="http://schemas.openxmlformats.org/drawingml/2006/main">
                <a:graphicData uri="http://schemas.microsoft.com/office/word/2010/wordprocessingGroup">
                  <wpg:wgp>
                    <wpg:cNvGrpSpPr/>
                    <wpg:grpSpPr>
                      <a:xfrm>
                        <a:off x="0" y="0"/>
                        <a:ext cx="8084185" cy="1551030"/>
                        <a:chOff x="0" y="-1"/>
                        <a:chExt cx="8084185" cy="1710472"/>
                      </a:xfrm>
                    </wpg:grpSpPr>
                    <wps:wsp>
                      <wps:cNvPr id="1697868819" name="481 Rectángulo"/>
                      <wps:cNvSpPr/>
                      <wps:spPr>
                        <a:xfrm rot="10800000" flipH="1">
                          <a:off x="5882185" y="-1"/>
                          <a:ext cx="2202000" cy="477078"/>
                        </a:xfrm>
                        <a:prstGeom prst="rect">
                          <a:avLst/>
                        </a:prstGeom>
                        <a:solidFill>
                          <a:srgbClr val="632523">
                            <a:alpha val="1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8068116" name="Pentágono 37"/>
                      <wps:cNvSpPr/>
                      <wps:spPr>
                        <a:xfrm>
                          <a:off x="0" y="0"/>
                          <a:ext cx="6621517" cy="1710471"/>
                        </a:xfrm>
                        <a:prstGeom prst="homePlate">
                          <a:avLst/>
                        </a:prstGeom>
                        <a:solidFill>
                          <a:srgbClr val="6325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75E8229" id="Grupo 892648880" o:spid="_x0000_s1026" style="position:absolute;margin-left:-108.7pt;margin-top:40.65pt;width:636.55pt;height:122.15pt;z-index:251693056;mso-height-relative:margin" coordorigin="" coordsize="80841,17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">
              <v:rect id="481 Rectángulo" o:spid="_x0000_s1027" style="position:absolute;left:58821;width:22020;height:4770;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" fillcolor="#632523" stroked="f" strokeweight="2pt">
                <v:fill opacity="6682f"/>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37" o:spid="_x0000_s1028" type="#_x0000_t15" style="position:absolute;width:66215;height:17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" adj="18810" fillcolor="#632523" stroked="f" strokeweight="2pt"/>
            </v:group>
          </w:pict>
        </mc:Fallback>
      </mc:AlternateContent>
    </w:r>
    <w:r>
      <w:rPr>
        <w:b/>
        <w:bCs/>
        <w:noProof/>
        <w:lang w:eastAsia="es-MX"/>
      </w:rPr>
      <mc:AlternateContent>
        <mc:Choice Requires="wps">
          <w:drawing>
            <wp:anchor distT="0" distB="0" distL="114300" distR="114300" simplePos="0" relativeHeight="251683840" behindDoc="0" locked="0" layoutInCell="1" allowOverlap="1" wp14:anchorId="58A8455E" wp14:editId="4A7A125F">
              <wp:simplePos x="0" y="0"/>
              <wp:positionH relativeFrom="column">
                <wp:posOffset>-45720</wp:posOffset>
              </wp:positionH>
              <wp:positionV relativeFrom="paragraph">
                <wp:posOffset>1253490</wp:posOffset>
              </wp:positionV>
              <wp:extent cx="7199630" cy="71755"/>
              <wp:effectExtent l="0" t="0" r="1270" b="4445"/>
              <wp:wrapNone/>
              <wp:docPr id="2045899885" name="480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22AB2" id="480 Rectángulo" o:spid="_x0000_s1026" style="position:absolute;margin-left:-3.6pt;margin-top:98.7pt;width:566.9pt;height:5.65pt;rotation:180;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" fillcolor="#651d32" stroked="f" strokeweight="2pt">
              <v:fill color2="white [3212]" rotate="t" focusposition="1,1" focussize="" colors="0 #651d32;24248f #ba9aa3;53084f white" focus="100%" type="gradientRadial"/>
            </v:rect>
          </w:pict>
        </mc:Fallback>
      </mc:AlternateContent>
    </w:r>
    <w:r>
      <w:rPr>
        <w:b/>
        <w:bCs/>
        <w:noProof/>
        <w:lang w:eastAsia="es-MX"/>
      </w:rPr>
      <mc:AlternateContent>
        <mc:Choice Requires="wps">
          <w:drawing>
            <wp:anchor distT="0" distB="0" distL="114300" distR="114300" simplePos="0" relativeHeight="251674624" behindDoc="0" locked="0" layoutInCell="1" allowOverlap="1" wp14:anchorId="481F9D94" wp14:editId="7FED1326">
              <wp:simplePos x="0" y="0"/>
              <wp:positionH relativeFrom="column">
                <wp:posOffset>-198120</wp:posOffset>
              </wp:positionH>
              <wp:positionV relativeFrom="paragraph">
                <wp:posOffset>1101090</wp:posOffset>
              </wp:positionV>
              <wp:extent cx="7199630" cy="71755"/>
              <wp:effectExtent l="0" t="0" r="1270" b="4445"/>
              <wp:wrapNone/>
              <wp:docPr id="711643732" name="63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59B1A" id="63 Rectángulo" o:spid="_x0000_s1026" style="position:absolute;margin-left:-15.6pt;margin-top:86.7pt;width:566.9pt;height:5.65pt;rotation:18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" fillcolor="#651d32" stroked="f" strokeweight="2pt">
              <v:fill color2="white [3212]" rotate="t" focusposition="1,1" focussize="" colors="0 #651d32;24248f #ba9aa3;53084f white" focus="100%" type="gradientRadial"/>
            </v:rect>
          </w:pict>
        </mc:Fallback>
      </mc:AlternateContent>
    </w:r>
    <w:r>
      <w:rPr>
        <w:b/>
        <w:bCs/>
        <w:noProof/>
        <w:lang w:eastAsia="es-MX"/>
      </w:rPr>
      <mc:AlternateContent>
        <mc:Choice Requires="wps">
          <w:drawing>
            <wp:anchor distT="0" distB="0" distL="114300" distR="114300" simplePos="0" relativeHeight="251665408" behindDoc="0" locked="0" layoutInCell="1" allowOverlap="1" wp14:anchorId="45049795" wp14:editId="5C3815DB">
              <wp:simplePos x="0" y="0"/>
              <wp:positionH relativeFrom="column">
                <wp:posOffset>-350520</wp:posOffset>
              </wp:positionH>
              <wp:positionV relativeFrom="paragraph">
                <wp:posOffset>948690</wp:posOffset>
              </wp:positionV>
              <wp:extent cx="7199630" cy="71755"/>
              <wp:effectExtent l="0" t="0" r="1270" b="4445"/>
              <wp:wrapNone/>
              <wp:docPr id="1859282196" name="59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7C104D" id="59 Rectángulo" o:spid="_x0000_s1026" style="position:absolute;margin-left:-27.6pt;margin-top:74.7pt;width:566.9pt;height:5.65pt;rotation:18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" fillcolor="#651d32" stroked="f" strokeweight="2pt">
              <v:fill color2="white [3212]" rotate="t" focusposition="1,1" focussize="" colors="0 #651d32;24248f #ba9aa3;53084f white" focus="100%" type="gradientRadial"/>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D2669" w14:textId="77777777" w:rsidR="00F43EAE" w:rsidRDefault="00F43EAE" w:rsidP="00043D65">
    <w:pPr>
      <w:pStyle w:val="Piedepgina"/>
    </w:pPr>
    <w:r w:rsidRPr="001878FB">
      <w:rPr>
        <w:noProof/>
        <w:lang w:eastAsia="es-MX"/>
      </w:rPr>
      <mc:AlternateContent>
        <mc:Choice Requires="wps">
          <w:drawing>
            <wp:anchor distT="0" distB="0" distL="114300" distR="114300" simplePos="0" relativeHeight="251720192" behindDoc="0" locked="0" layoutInCell="1" allowOverlap="1" wp14:anchorId="6EAB4D85" wp14:editId="3CC9D4CA">
              <wp:simplePos x="0" y="0"/>
              <wp:positionH relativeFrom="margin">
                <wp:posOffset>0</wp:posOffset>
              </wp:positionH>
              <wp:positionV relativeFrom="paragraph">
                <wp:posOffset>142875</wp:posOffset>
              </wp:positionV>
              <wp:extent cx="4319905" cy="323850"/>
              <wp:effectExtent l="0" t="0" r="0" b="0"/>
              <wp:wrapNone/>
              <wp:docPr id="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323850"/>
                      </a:xfrm>
                      <a:prstGeom prst="rect">
                        <a:avLst/>
                      </a:prstGeom>
                      <a:noFill/>
                      <a:ln w="9525">
                        <a:noFill/>
                        <a:miter lim="800000"/>
                        <a:headEnd/>
                        <a:tailEnd/>
                      </a:ln>
                    </wps:spPr>
                    <wps:txbx>
                      <w:txbxContent>
                        <w:p w14:paraId="300A13CF" w14:textId="77777777" w:rsidR="00F43EAE" w:rsidRPr="00D833BA" w:rsidRDefault="00F43EAE" w:rsidP="00043D65">
                          <w:pPr>
                            <w:rPr>
                              <w:rFonts w:cstheme="minorHAnsi"/>
                              <w:b/>
                              <w:smallCaps/>
                              <w:szCs w:val="24"/>
                            </w:rPr>
                          </w:pPr>
                          <w:r>
                            <w:rPr>
                              <w:rFonts w:cstheme="minorHAnsi"/>
                              <w:b/>
                              <w:smallCaps/>
                              <w:szCs w:val="24"/>
                            </w:rPr>
                            <w:t>Evaluación de Diseño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EAB4D85" id="_x0000_t202" coordsize="21600,21600" o:spt="202" path="m,l,21600r21600,l21600,xe">
              <v:stroke joinstyle="miter"/>
              <v:path gradientshapeok="t" o:connecttype="rect"/>
            </v:shapetype>
            <v:shape id="_x0000_s1034" type="#_x0000_t202" style="position:absolute;left:0;text-align:left;margin-left:0;margin-top:11.25pt;width:340.15pt;height:25.5pt;z-index:251720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" filled="f" stroked="f">
              <v:textbox>
                <w:txbxContent>
                  <w:p w14:paraId="300A13CF" w14:textId="77777777" w:rsidR="00F43EAE" w:rsidRPr="00D833BA" w:rsidRDefault="00F43EAE" w:rsidP="00043D65">
                    <w:pPr>
                      <w:rPr>
                        <w:rFonts w:cstheme="minorHAnsi"/>
                        <w:b/>
                        <w:smallCaps/>
                        <w:szCs w:val="24"/>
                      </w:rPr>
                    </w:pPr>
                    <w:r>
                      <w:rPr>
                        <w:rFonts w:cstheme="minorHAnsi"/>
                        <w:b/>
                        <w:smallCaps/>
                        <w:szCs w:val="24"/>
                      </w:rPr>
                      <w:t>Evaluación de Diseño</w:t>
                    </w:r>
                  </w:p>
                </w:txbxContent>
              </v:textbox>
              <w10:wrap anchorx="margin"/>
            </v:shape>
          </w:pict>
        </mc:Fallback>
      </mc:AlternateContent>
    </w:r>
    <w:r>
      <w:rPr>
        <w:b/>
        <w:bCs/>
        <w:noProof/>
        <w:lang w:eastAsia="es-MX"/>
      </w:rPr>
      <mc:AlternateContent>
        <mc:Choice Requires="wpg">
          <w:drawing>
            <wp:anchor distT="0" distB="0" distL="114300" distR="114300" simplePos="0" relativeHeight="251719168" behindDoc="0" locked="0" layoutInCell="1" allowOverlap="1" wp14:anchorId="25F50B66" wp14:editId="44C2FC81">
              <wp:simplePos x="0" y="0"/>
              <wp:positionH relativeFrom="column">
                <wp:posOffset>-1696361</wp:posOffset>
              </wp:positionH>
              <wp:positionV relativeFrom="paragraph">
                <wp:posOffset>571528</wp:posOffset>
              </wp:positionV>
              <wp:extent cx="8378588" cy="1481455"/>
              <wp:effectExtent l="0" t="0" r="3810" b="4445"/>
              <wp:wrapNone/>
              <wp:docPr id="48" name="Grupo 48"/>
              <wp:cNvGraphicFramePr/>
              <a:graphic xmlns:a="http://schemas.openxmlformats.org/drawingml/2006/main">
                <a:graphicData uri="http://schemas.microsoft.com/office/word/2010/wordprocessingGroup">
                  <wpg:wgp>
                    <wpg:cNvGrpSpPr/>
                    <wpg:grpSpPr>
                      <a:xfrm>
                        <a:off x="0" y="0"/>
                        <a:ext cx="8378588" cy="1481455"/>
                        <a:chOff x="0" y="0"/>
                        <a:chExt cx="8378588" cy="1710471"/>
                      </a:xfrm>
                    </wpg:grpSpPr>
                    <wps:wsp>
                      <wps:cNvPr id="58" name="481 Rectángulo"/>
                      <wps:cNvSpPr/>
                      <wps:spPr>
                        <a:xfrm rot="10800000" flipH="1">
                          <a:off x="884481" y="0"/>
                          <a:ext cx="7494107" cy="476846"/>
                        </a:xfrm>
                        <a:prstGeom prst="rect">
                          <a:avLst/>
                        </a:prstGeom>
                        <a:solidFill>
                          <a:srgbClr val="632523">
                            <a:alpha val="1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Pentágono 60"/>
                      <wps:cNvSpPr/>
                      <wps:spPr>
                        <a:xfrm>
                          <a:off x="0" y="0"/>
                          <a:ext cx="6621517" cy="1710471"/>
                        </a:xfrm>
                        <a:prstGeom prst="homePlate">
                          <a:avLst/>
                        </a:prstGeom>
                        <a:solidFill>
                          <a:srgbClr val="6325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DA3DD8" id="Grupo 48" o:spid="_x0000_s1026" style="position:absolute;margin-left:-133.55pt;margin-top:45pt;width:659.75pt;height:116.65pt;z-index:251719168;mso-width-relative:margin;mso-height-relative:margin" coordsize="83785,17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">
              <v:rect id="481 Rectángulo" o:spid="_x0000_s1027" style="position:absolute;left:8844;width:74941;height:4768;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" fillcolor="#632523" stroked="f" strokeweight="2pt">
                <v:fill opacity="6682f"/>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60" o:spid="_x0000_s1028" type="#_x0000_t15" style="position:absolute;width:66215;height:17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" adj="18810" fillcolor="#632523" stroked="f" strokeweight="2pt"/>
            </v:group>
          </w:pict>
        </mc:Fallback>
      </mc:AlternateContent>
    </w:r>
    <w:r>
      <w:rPr>
        <w:rFonts w:ascii="Montserrat" w:hAnsi="Montserrat" w:cs="Arial"/>
        <w:b/>
        <w:noProof/>
        <w:color w:val="861D31"/>
        <w:sz w:val="16"/>
        <w:szCs w:val="32"/>
        <w:lang w:eastAsia="es-MX"/>
      </w:rPr>
      <mc:AlternateContent>
        <mc:Choice Requires="wps">
          <w:drawing>
            <wp:anchor distT="0" distB="0" distL="114300" distR="114300" simplePos="0" relativeHeight="251715072" behindDoc="0" locked="0" layoutInCell="1" allowOverlap="1" wp14:anchorId="075DC067" wp14:editId="32AAD33C">
              <wp:simplePos x="0" y="0"/>
              <wp:positionH relativeFrom="column">
                <wp:posOffset>5298440</wp:posOffset>
              </wp:positionH>
              <wp:positionV relativeFrom="paragraph">
                <wp:posOffset>213995</wp:posOffset>
              </wp:positionV>
              <wp:extent cx="899795" cy="287655"/>
              <wp:effectExtent l="0" t="0" r="0" b="0"/>
              <wp:wrapNone/>
              <wp:docPr id="523" name="Cuadro de texto 523"/>
              <wp:cNvGraphicFramePr/>
              <a:graphic xmlns:a="http://schemas.openxmlformats.org/drawingml/2006/main">
                <a:graphicData uri="http://schemas.microsoft.com/office/word/2010/wordprocessingShape">
                  <wps:wsp>
                    <wps:cNvSpPr txBox="1"/>
                    <wps:spPr>
                      <a:xfrm>
                        <a:off x="0" y="0"/>
                        <a:ext cx="899795" cy="287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6FBAA6" w14:textId="7AB841F0" w:rsidR="00F43EAE" w:rsidRPr="00BD2FB6" w:rsidRDefault="00F43EAE" w:rsidP="00043D65">
                          <w:pPr>
                            <w:pStyle w:val="Piedepgina"/>
                            <w:jc w:val="center"/>
                            <w:rPr>
                              <w:rFonts w:ascii="Medium" w:hAnsi="Medium" w:cs="Times New Roman"/>
                              <w:color w:val="595959" w:themeColor="text1" w:themeTint="A6"/>
                              <w:szCs w:val="20"/>
                            </w:rPr>
                          </w:pPr>
                          <w:r w:rsidRPr="00BD2FB6">
                            <w:rPr>
                              <w:rFonts w:ascii="Medium" w:hAnsi="Medium" w:cs="Times New Roman"/>
                              <w:b/>
                              <w:bCs/>
                              <w:color w:val="595959" w:themeColor="text1" w:themeTint="A6"/>
                              <w:szCs w:val="20"/>
                            </w:rPr>
                            <w:fldChar w:fldCharType="begin"/>
                          </w:r>
                          <w:r w:rsidRPr="00BD2FB6">
                            <w:rPr>
                              <w:rFonts w:ascii="Medium" w:hAnsi="Medium" w:cs="Times New Roman"/>
                              <w:b/>
                              <w:bCs/>
                              <w:color w:val="595959" w:themeColor="text1" w:themeTint="A6"/>
                              <w:szCs w:val="20"/>
                            </w:rPr>
                            <w:instrText>PAGE</w:instrText>
                          </w:r>
                          <w:r w:rsidRPr="00BD2FB6">
                            <w:rPr>
                              <w:rFonts w:ascii="Medium" w:hAnsi="Medium" w:cs="Times New Roman"/>
                              <w:b/>
                              <w:bCs/>
                              <w:color w:val="595959" w:themeColor="text1" w:themeTint="A6"/>
                              <w:szCs w:val="20"/>
                            </w:rPr>
                            <w:fldChar w:fldCharType="separate"/>
                          </w:r>
                          <w:r w:rsidR="00385CF3">
                            <w:rPr>
                              <w:rFonts w:ascii="Medium" w:hAnsi="Medium" w:cs="Times New Roman"/>
                              <w:b/>
                              <w:bCs/>
                              <w:noProof/>
                              <w:color w:val="595959" w:themeColor="text1" w:themeTint="A6"/>
                              <w:szCs w:val="20"/>
                            </w:rPr>
                            <w:t>74</w:t>
                          </w:r>
                          <w:r w:rsidRPr="00BD2FB6">
                            <w:rPr>
                              <w:rFonts w:ascii="Medium" w:hAnsi="Medium" w:cs="Times New Roman"/>
                              <w:b/>
                              <w:bCs/>
                              <w:color w:val="595959" w:themeColor="text1" w:themeTint="A6"/>
                              <w:szCs w:val="20"/>
                            </w:rPr>
                            <w:fldChar w:fldCharType="end"/>
                          </w:r>
                        </w:p>
                        <w:p w14:paraId="235850CB" w14:textId="77777777" w:rsidR="00F43EAE" w:rsidRPr="00BD2FB6" w:rsidRDefault="00F43EAE" w:rsidP="00043D65">
                          <w:pPr>
                            <w:ind w:firstLine="708"/>
                            <w:jc w:val="center"/>
                            <w:rPr>
                              <w:rFonts w:ascii="Medium" w:hAnsi="Medium" w:cs="Times New Roman"/>
                              <w:b/>
                              <w:color w:val="595959" w:themeColor="text1" w:themeTint="A6"/>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DC067" id="Cuadro de texto 523" o:spid="_x0000_s1035" type="#_x0000_t202" style="position:absolute;left:0;text-align:left;margin-left:417.2pt;margin-top:16.85pt;width:70.85pt;height:22.6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" filled="f" stroked="f" strokeweight=".5pt">
              <v:textbox>
                <w:txbxContent>
                  <w:p w14:paraId="526FBAA6" w14:textId="7AB841F0" w:rsidR="00F43EAE" w:rsidRPr="00BD2FB6" w:rsidRDefault="00F43EAE" w:rsidP="00043D65">
                    <w:pPr>
                      <w:pStyle w:val="Piedepgina"/>
                      <w:jc w:val="center"/>
                      <w:rPr>
                        <w:rFonts w:ascii="Medium" w:hAnsi="Medium" w:cs="Times New Roman"/>
                        <w:color w:val="595959" w:themeColor="text1" w:themeTint="A6"/>
                        <w:szCs w:val="20"/>
                      </w:rPr>
                    </w:pPr>
                    <w:r w:rsidRPr="00BD2FB6">
                      <w:rPr>
                        <w:rFonts w:ascii="Medium" w:hAnsi="Medium" w:cs="Times New Roman"/>
                        <w:b/>
                        <w:bCs/>
                        <w:color w:val="595959" w:themeColor="text1" w:themeTint="A6"/>
                        <w:szCs w:val="20"/>
                      </w:rPr>
                      <w:fldChar w:fldCharType="begin"/>
                    </w:r>
                    <w:r w:rsidRPr="00BD2FB6">
                      <w:rPr>
                        <w:rFonts w:ascii="Medium" w:hAnsi="Medium" w:cs="Times New Roman"/>
                        <w:b/>
                        <w:bCs/>
                        <w:color w:val="595959" w:themeColor="text1" w:themeTint="A6"/>
                        <w:szCs w:val="20"/>
                      </w:rPr>
                      <w:instrText>PAGE</w:instrText>
                    </w:r>
                    <w:r w:rsidRPr="00BD2FB6">
                      <w:rPr>
                        <w:rFonts w:ascii="Medium" w:hAnsi="Medium" w:cs="Times New Roman"/>
                        <w:b/>
                        <w:bCs/>
                        <w:color w:val="595959" w:themeColor="text1" w:themeTint="A6"/>
                        <w:szCs w:val="20"/>
                      </w:rPr>
                      <w:fldChar w:fldCharType="separate"/>
                    </w:r>
                    <w:r w:rsidR="00385CF3">
                      <w:rPr>
                        <w:rFonts w:ascii="Medium" w:hAnsi="Medium" w:cs="Times New Roman"/>
                        <w:b/>
                        <w:bCs/>
                        <w:noProof/>
                        <w:color w:val="595959" w:themeColor="text1" w:themeTint="A6"/>
                        <w:szCs w:val="20"/>
                      </w:rPr>
                      <w:t>74</w:t>
                    </w:r>
                    <w:r w:rsidRPr="00BD2FB6">
                      <w:rPr>
                        <w:rFonts w:ascii="Medium" w:hAnsi="Medium" w:cs="Times New Roman"/>
                        <w:b/>
                        <w:bCs/>
                        <w:color w:val="595959" w:themeColor="text1" w:themeTint="A6"/>
                        <w:szCs w:val="20"/>
                      </w:rPr>
                      <w:fldChar w:fldCharType="end"/>
                    </w:r>
                  </w:p>
                  <w:p w14:paraId="235850CB" w14:textId="77777777" w:rsidR="00F43EAE" w:rsidRPr="00BD2FB6" w:rsidRDefault="00F43EAE" w:rsidP="00043D65">
                    <w:pPr>
                      <w:ind w:firstLine="708"/>
                      <w:jc w:val="center"/>
                      <w:rPr>
                        <w:rFonts w:ascii="Medium" w:hAnsi="Medium" w:cs="Times New Roman"/>
                        <w:b/>
                        <w:color w:val="595959" w:themeColor="text1" w:themeTint="A6"/>
                        <w:szCs w:val="20"/>
                      </w:rPr>
                    </w:pPr>
                  </w:p>
                </w:txbxContent>
              </v:textbox>
            </v:shape>
          </w:pict>
        </mc:Fallback>
      </mc:AlternateContent>
    </w:r>
    <w:r>
      <w:rPr>
        <w:b/>
        <w:bCs/>
        <w:noProof/>
        <w:lang w:eastAsia="es-MX"/>
      </w:rPr>
      <mc:AlternateContent>
        <mc:Choice Requires="wps">
          <w:drawing>
            <wp:anchor distT="0" distB="0" distL="114300" distR="114300" simplePos="0" relativeHeight="251718144" behindDoc="0" locked="0" layoutInCell="1" allowOverlap="1" wp14:anchorId="5E7677E4" wp14:editId="01E25088">
              <wp:simplePos x="0" y="0"/>
              <wp:positionH relativeFrom="column">
                <wp:posOffset>-45720</wp:posOffset>
              </wp:positionH>
              <wp:positionV relativeFrom="paragraph">
                <wp:posOffset>1253490</wp:posOffset>
              </wp:positionV>
              <wp:extent cx="7199630" cy="71755"/>
              <wp:effectExtent l="0" t="0" r="1270" b="4445"/>
              <wp:wrapNone/>
              <wp:docPr id="527" name="480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661B76" id="480 Rectángulo" o:spid="_x0000_s1026" style="position:absolute;margin-left:-3.6pt;margin-top:98.7pt;width:566.9pt;height:5.65pt;rotation:180;flip:x;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" fillcolor="#651d32" stroked="f" strokeweight="2pt">
              <v:fill color2="white [3212]" rotate="t" focusposition="1,1" focussize="" colors="0 #651d32;24248f #ba9aa3;53084f white" focus="100%" type="gradientRadial"/>
            </v:rect>
          </w:pict>
        </mc:Fallback>
      </mc:AlternateContent>
    </w:r>
    <w:r>
      <w:rPr>
        <w:b/>
        <w:bCs/>
        <w:noProof/>
        <w:lang w:eastAsia="es-MX"/>
      </w:rPr>
      <mc:AlternateContent>
        <mc:Choice Requires="wps">
          <w:drawing>
            <wp:anchor distT="0" distB="0" distL="114300" distR="114300" simplePos="0" relativeHeight="251717120" behindDoc="0" locked="0" layoutInCell="1" allowOverlap="1" wp14:anchorId="623817B1" wp14:editId="1CF1DA8A">
              <wp:simplePos x="0" y="0"/>
              <wp:positionH relativeFrom="column">
                <wp:posOffset>-198120</wp:posOffset>
              </wp:positionH>
              <wp:positionV relativeFrom="paragraph">
                <wp:posOffset>1101090</wp:posOffset>
              </wp:positionV>
              <wp:extent cx="7199630" cy="71755"/>
              <wp:effectExtent l="0" t="0" r="1270" b="4445"/>
              <wp:wrapNone/>
              <wp:docPr id="528" name="63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CEA1DD" id="63 Rectángulo" o:spid="_x0000_s1026" style="position:absolute;margin-left:-15.6pt;margin-top:86.7pt;width:566.9pt;height:5.65pt;rotation:180;flip:x;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" fillcolor="#651d32" stroked="f" strokeweight="2pt">
              <v:fill color2="white [3212]" rotate="t" focusposition="1,1" focussize="" colors="0 #651d32;24248f #ba9aa3;53084f white" focus="100%" type="gradientRadial"/>
            </v:rect>
          </w:pict>
        </mc:Fallback>
      </mc:AlternateContent>
    </w:r>
    <w:r>
      <w:rPr>
        <w:b/>
        <w:bCs/>
        <w:noProof/>
        <w:lang w:eastAsia="es-MX"/>
      </w:rPr>
      <mc:AlternateContent>
        <mc:Choice Requires="wps">
          <w:drawing>
            <wp:anchor distT="0" distB="0" distL="114300" distR="114300" simplePos="0" relativeHeight="251716096" behindDoc="0" locked="0" layoutInCell="1" allowOverlap="1" wp14:anchorId="0559A692" wp14:editId="5B57D89F">
              <wp:simplePos x="0" y="0"/>
              <wp:positionH relativeFrom="column">
                <wp:posOffset>-350520</wp:posOffset>
              </wp:positionH>
              <wp:positionV relativeFrom="paragraph">
                <wp:posOffset>948690</wp:posOffset>
              </wp:positionV>
              <wp:extent cx="7199630" cy="71755"/>
              <wp:effectExtent l="0" t="0" r="1270" b="4445"/>
              <wp:wrapNone/>
              <wp:docPr id="529" name="59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D8FD69" id="59 Rectángulo" o:spid="_x0000_s1026" style="position:absolute;margin-left:-27.6pt;margin-top:74.7pt;width:566.9pt;height:5.65pt;rotation:180;flip:x;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" fillcolor="#651d32" stroked="f" strokeweight="2pt">
              <v:fill color2="white [3212]" rotate="t" focusposition="1,1" focussize="" colors="0 #651d32;24248f #ba9aa3;53084f white" focus="100%" type="gradientRadial"/>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19770" w14:textId="77777777" w:rsidR="00021B51" w:rsidRDefault="00021B51" w:rsidP="0028627B">
      <w:pPr>
        <w:spacing w:after="0" w:line="240" w:lineRule="auto"/>
      </w:pPr>
      <w:r>
        <w:separator/>
      </w:r>
    </w:p>
  </w:footnote>
  <w:footnote w:type="continuationSeparator" w:id="0">
    <w:p w14:paraId="1112853D" w14:textId="77777777" w:rsidR="00021B51" w:rsidRDefault="00021B51" w:rsidP="0028627B">
      <w:pPr>
        <w:spacing w:after="0" w:line="240" w:lineRule="auto"/>
      </w:pPr>
      <w:r>
        <w:continuationSeparator/>
      </w:r>
    </w:p>
  </w:footnote>
  <w:footnote w:id="1">
    <w:p w14:paraId="541E44B2" w14:textId="77777777" w:rsidR="00F43EAE" w:rsidRDefault="00F43EAE">
      <w:pPr>
        <w:pStyle w:val="Textonotapie"/>
      </w:pPr>
      <w:r>
        <w:rPr>
          <w:rStyle w:val="Refdenotaalpie"/>
        </w:rPr>
        <w:footnoteRef/>
      </w:r>
      <w:r>
        <w:t xml:space="preserve"> </w:t>
      </w:r>
      <w:r w:rsidRPr="003F6330">
        <w:rPr>
          <w:sz w:val="16"/>
          <w:szCs w:val="16"/>
        </w:rPr>
        <w:t xml:space="preserve">Se entenderá por </w:t>
      </w:r>
      <w:r w:rsidRPr="003F6330">
        <w:rPr>
          <w:b/>
          <w:bCs/>
          <w:sz w:val="16"/>
          <w:szCs w:val="16"/>
        </w:rPr>
        <w:t>sistematizada</w:t>
      </w:r>
      <w:r w:rsidRPr="003F6330">
        <w:rPr>
          <w:sz w:val="16"/>
          <w:szCs w:val="16"/>
        </w:rPr>
        <w:t xml:space="preserve"> que la información se encuentre en bases de datos y disponible en un sistema informático; por </w:t>
      </w:r>
      <w:r w:rsidRPr="003F6330">
        <w:rPr>
          <w:b/>
          <w:bCs/>
          <w:sz w:val="16"/>
          <w:szCs w:val="16"/>
        </w:rPr>
        <w:t>actualizada</w:t>
      </w:r>
      <w:r w:rsidRPr="003F6330">
        <w:rPr>
          <w:sz w:val="16"/>
          <w:szCs w:val="16"/>
        </w:rPr>
        <w:t xml:space="preserve">, que el padrón contenga los datos más recientes de acuerdo con la periodicidad definida para el tipo de información; y por </w:t>
      </w:r>
      <w:r w:rsidRPr="003F6330">
        <w:rPr>
          <w:b/>
          <w:bCs/>
          <w:sz w:val="16"/>
          <w:szCs w:val="16"/>
        </w:rPr>
        <w:t>depurada</w:t>
      </w:r>
      <w:r w:rsidRPr="003F6330">
        <w:rPr>
          <w:sz w:val="16"/>
          <w:szCs w:val="16"/>
        </w:rPr>
        <w:t xml:space="preserve">, que no contenga duplicidades o beneficiarios no vigentes.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D0C2A" w14:textId="77777777" w:rsidR="00F43EAE" w:rsidRDefault="00F43EAE" w:rsidP="00682DE3">
    <w:pPr>
      <w:pStyle w:val="Encabezado"/>
    </w:pPr>
  </w:p>
  <w:p w14:paraId="04387111" w14:textId="77777777" w:rsidR="00F43EAE" w:rsidRDefault="00F43EAE" w:rsidP="00682DE3">
    <w:pPr>
      <w:pStyle w:val="Encabezado"/>
    </w:pPr>
  </w:p>
  <w:p w14:paraId="0456496F" w14:textId="77777777" w:rsidR="00F43EAE" w:rsidRDefault="00F43EAE" w:rsidP="00043D65">
    <w:pPr>
      <w:pStyle w:val="Encabezado"/>
    </w:pPr>
    <w:r w:rsidRPr="001878FB">
      <w:rPr>
        <w:noProof/>
        <w:lang w:eastAsia="es-MX"/>
      </w:rPr>
      <mc:AlternateContent>
        <mc:Choice Requires="wps">
          <w:drawing>
            <wp:anchor distT="0" distB="0" distL="114300" distR="114300" simplePos="0" relativeHeight="251637760" behindDoc="0" locked="0" layoutInCell="1" allowOverlap="1" wp14:anchorId="513ECE08" wp14:editId="7172F1F4">
              <wp:simplePos x="0" y="0"/>
              <wp:positionH relativeFrom="margin">
                <wp:posOffset>2234234</wp:posOffset>
              </wp:positionH>
              <wp:positionV relativeFrom="paragraph">
                <wp:posOffset>-277495</wp:posOffset>
              </wp:positionV>
              <wp:extent cx="3444486" cy="614150"/>
              <wp:effectExtent l="0" t="0" r="0" b="0"/>
              <wp:wrapNone/>
              <wp:docPr id="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486" cy="614150"/>
                      </a:xfrm>
                      <a:prstGeom prst="rect">
                        <a:avLst/>
                      </a:prstGeom>
                      <a:noFill/>
                      <a:ln w="9525">
                        <a:noFill/>
                        <a:miter lim="800000"/>
                        <a:headEnd/>
                        <a:tailEnd/>
                      </a:ln>
                    </wps:spPr>
                    <wps:txbx>
                      <w:txbxContent>
                        <w:p w14:paraId="5213918E" w14:textId="77777777" w:rsidR="00B7278C" w:rsidRDefault="00F43EAE" w:rsidP="00043D65">
                          <w:pPr>
                            <w:tabs>
                              <w:tab w:val="left" w:pos="4536"/>
                            </w:tabs>
                            <w:spacing w:after="0" w:line="240" w:lineRule="auto"/>
                            <w:jc w:val="right"/>
                            <w:rPr>
                              <w:rFonts w:cstheme="minorHAnsi"/>
                              <w:b/>
                              <w:smallCaps/>
                              <w:szCs w:val="24"/>
                            </w:rPr>
                          </w:pPr>
                          <w:r w:rsidRPr="00AC4030">
                            <w:rPr>
                              <w:rFonts w:cstheme="minorHAnsi"/>
                              <w:b/>
                              <w:smallCaps/>
                              <w:szCs w:val="24"/>
                            </w:rPr>
                            <w:t xml:space="preserve">E053: </w:t>
                          </w:r>
                          <w:r w:rsidR="00B7278C">
                            <w:rPr>
                              <w:rFonts w:cstheme="minorHAnsi"/>
                              <w:b/>
                              <w:smallCaps/>
                              <w:szCs w:val="24"/>
                            </w:rPr>
                            <w:t xml:space="preserve">Servicios de Educación </w:t>
                          </w:r>
                        </w:p>
                        <w:p w14:paraId="2B3DA62E" w14:textId="57D644A0" w:rsidR="00F43EAE" w:rsidRPr="00D833BA" w:rsidRDefault="00B7278C" w:rsidP="00043D65">
                          <w:pPr>
                            <w:tabs>
                              <w:tab w:val="left" w:pos="4536"/>
                            </w:tabs>
                            <w:spacing w:after="0" w:line="240" w:lineRule="auto"/>
                            <w:jc w:val="right"/>
                            <w:rPr>
                              <w:rFonts w:cstheme="minorHAnsi"/>
                              <w:b/>
                              <w:smallCaps/>
                              <w:szCs w:val="24"/>
                            </w:rPr>
                          </w:pPr>
                          <w:r>
                            <w:rPr>
                              <w:rFonts w:cstheme="minorHAnsi"/>
                              <w:b/>
                              <w:smallCaps/>
                              <w:szCs w:val="24"/>
                            </w:rPr>
                            <w:t>Superior y Posgrado de Calidad</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13ECE08" id="_x0000_t202" coordsize="21600,21600" o:spt="202" path="m,l,21600r21600,l21600,xe">
              <v:stroke joinstyle="miter"/>
              <v:path gradientshapeok="t" o:connecttype="rect"/>
            </v:shapetype>
            <v:shape id="_x0000_s1033" type="#_x0000_t202" style="position:absolute;left:0;text-align:left;margin-left:175.9pt;margin-top:-21.85pt;width:271.2pt;height:48.3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" filled="f" stroked="f">
              <v:textbox>
                <w:txbxContent>
                  <w:p w14:paraId="5213918E" w14:textId="77777777" w:rsidR="00B7278C" w:rsidRDefault="00F43EAE" w:rsidP="00043D65">
                    <w:pPr>
                      <w:tabs>
                        <w:tab w:val="left" w:pos="4536"/>
                      </w:tabs>
                      <w:spacing w:after="0" w:line="240" w:lineRule="auto"/>
                      <w:jc w:val="right"/>
                      <w:rPr>
                        <w:rFonts w:cstheme="minorHAnsi"/>
                        <w:b/>
                        <w:smallCaps/>
                        <w:szCs w:val="24"/>
                      </w:rPr>
                    </w:pPr>
                    <w:r w:rsidRPr="00AC4030">
                      <w:rPr>
                        <w:rFonts w:cstheme="minorHAnsi"/>
                        <w:b/>
                        <w:smallCaps/>
                        <w:szCs w:val="24"/>
                      </w:rPr>
                      <w:t xml:space="preserve">E053: </w:t>
                    </w:r>
                    <w:r w:rsidR="00B7278C">
                      <w:rPr>
                        <w:rFonts w:cstheme="minorHAnsi"/>
                        <w:b/>
                        <w:smallCaps/>
                        <w:szCs w:val="24"/>
                      </w:rPr>
                      <w:t xml:space="preserve">Servicios de Educación </w:t>
                    </w:r>
                  </w:p>
                  <w:p w14:paraId="2B3DA62E" w14:textId="57D644A0" w:rsidR="00F43EAE" w:rsidRPr="00D833BA" w:rsidRDefault="00B7278C" w:rsidP="00043D65">
                    <w:pPr>
                      <w:tabs>
                        <w:tab w:val="left" w:pos="4536"/>
                      </w:tabs>
                      <w:spacing w:after="0" w:line="240" w:lineRule="auto"/>
                      <w:jc w:val="right"/>
                      <w:rPr>
                        <w:rFonts w:cstheme="minorHAnsi"/>
                        <w:b/>
                        <w:smallCaps/>
                        <w:szCs w:val="24"/>
                      </w:rPr>
                    </w:pPr>
                    <w:r>
                      <w:rPr>
                        <w:rFonts w:cstheme="minorHAnsi"/>
                        <w:b/>
                        <w:smallCaps/>
                        <w:szCs w:val="24"/>
                      </w:rPr>
                      <w:t>Superior y Posgrado de Calidad</w:t>
                    </w:r>
                  </w:p>
                </w:txbxContent>
              </v:textbox>
              <w10:wrap anchorx="margin"/>
            </v:shape>
          </w:pict>
        </mc:Fallback>
      </mc:AlternateContent>
    </w:r>
    <w:r>
      <w:rPr>
        <w:noProof/>
        <w:lang w:eastAsia="es-MX"/>
      </w:rPr>
      <w:drawing>
        <wp:anchor distT="0" distB="0" distL="114300" distR="114300" simplePos="0" relativeHeight="251656192" behindDoc="0" locked="0" layoutInCell="1" allowOverlap="1" wp14:anchorId="61B910CE" wp14:editId="13C68FB9">
          <wp:simplePos x="0" y="0"/>
          <wp:positionH relativeFrom="column">
            <wp:posOffset>-140013</wp:posOffset>
          </wp:positionH>
          <wp:positionV relativeFrom="paragraph">
            <wp:posOffset>-291465</wp:posOffset>
          </wp:positionV>
          <wp:extent cx="1658620" cy="579755"/>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SAF.png"/>
                  <pic:cNvPicPr/>
                </pic:nvPicPr>
                <pic:blipFill>
                  <a:blip r:embed="rId1" cstate="print">
                    <a:biLevel thresh="75000"/>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tretch>
                    <a:fillRect/>
                  </a:stretch>
                </pic:blipFill>
                <pic:spPr>
                  <a:xfrm>
                    <a:off x="0" y="0"/>
                    <a:ext cx="1658620" cy="57975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MX"/>
      </w:rPr>
      <mc:AlternateContent>
        <mc:Choice Requires="wpg">
          <w:drawing>
            <wp:anchor distT="0" distB="0" distL="114300" distR="114300" simplePos="0" relativeHeight="251628544" behindDoc="0" locked="0" layoutInCell="1" allowOverlap="1" wp14:anchorId="43845A5D" wp14:editId="478B776E">
              <wp:simplePos x="0" y="0"/>
              <wp:positionH relativeFrom="column">
                <wp:posOffset>-1144583</wp:posOffset>
              </wp:positionH>
              <wp:positionV relativeFrom="paragraph">
                <wp:posOffset>-126365</wp:posOffset>
              </wp:positionV>
              <wp:extent cx="1079500" cy="271780"/>
              <wp:effectExtent l="0" t="0" r="6350" b="0"/>
              <wp:wrapNone/>
              <wp:docPr id="178240147" name="Grupo 178240147"/>
              <wp:cNvGraphicFramePr/>
              <a:graphic xmlns:a="http://schemas.openxmlformats.org/drawingml/2006/main">
                <a:graphicData uri="http://schemas.microsoft.com/office/word/2010/wordprocessingGroup">
                  <wpg:wgp>
                    <wpg:cNvGrpSpPr/>
                    <wpg:grpSpPr>
                      <a:xfrm>
                        <a:off x="0" y="0"/>
                        <a:ext cx="1079500" cy="271780"/>
                        <a:chOff x="0" y="-19050"/>
                        <a:chExt cx="2962275" cy="271780"/>
                      </a:xfrm>
                    </wpg:grpSpPr>
                    <wps:wsp>
                      <wps:cNvPr id="1520812166" name="37 Rectángulo"/>
                      <wps:cNvSpPr/>
                      <wps:spPr>
                        <a:xfrm rot="10800000">
                          <a:off x="0" y="-19050"/>
                          <a:ext cx="2962275" cy="71755"/>
                        </a:xfrm>
                        <a:prstGeom prst="rect">
                          <a:avLst/>
                        </a:prstGeom>
                        <a:gradFill flip="none" rotWithShape="1">
                          <a:gsLst>
                            <a:gs pos="0">
                              <a:srgbClr val="632523"/>
                            </a:gs>
                            <a:gs pos="37000">
                              <a:srgbClr val="C35855"/>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7712771" name="37 Rectángulo"/>
                      <wps:cNvSpPr/>
                      <wps:spPr>
                        <a:xfrm rot="10800000">
                          <a:off x="0" y="180975"/>
                          <a:ext cx="2962275" cy="71755"/>
                        </a:xfrm>
                        <a:prstGeom prst="rect">
                          <a:avLst/>
                        </a:prstGeom>
                        <a:gradFill flip="none" rotWithShape="1">
                          <a:gsLst>
                            <a:gs pos="0">
                              <a:srgbClr val="632523"/>
                            </a:gs>
                            <a:gs pos="37000">
                              <a:srgbClr val="C35855"/>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9D998E" id="Grupo 178240147" o:spid="_x0000_s1026" style="position:absolute;margin-left:-90.1pt;margin-top:-9.95pt;width:85pt;height:21.4pt;z-index:251628544;mso-width-relative:margin;mso-height-relative:margin" coordorigin=",-190" coordsize="29622,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">
              <v:rect id="37 Rectángulo" o:spid="_x0000_s1027" style="position:absolute;top:-190;width:29622;height:71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" fillcolor="#632523" stroked="f" strokeweight="2pt">
                <v:fill color2="white [3212]" rotate="t" focusposition="1,1" focussize="" colors="0 #632523;24248f #c35855;53084f white" focus="100%" type="gradientRadial"/>
              </v:rect>
              <v:rect id="37 Rectángulo" o:spid="_x0000_s1028" style="position:absolute;top:1809;width:29622;height:71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" fillcolor="#632523" stroked="f" strokeweight="2pt">
                <v:fill color2="white [3212]" rotate="t" focusposition="1,1" focussize="" colors="0 #632523;24248f #c35855;53084f white" focus="100%" type="gradientRadial"/>
              </v:rect>
            </v:group>
          </w:pict>
        </mc:Fallback>
      </mc:AlternateContent>
    </w:r>
    <w:r>
      <w:rPr>
        <w:noProof/>
        <w:lang w:eastAsia="es-MX"/>
      </w:rPr>
      <mc:AlternateContent>
        <mc:Choice Requires="wpg">
          <w:drawing>
            <wp:anchor distT="0" distB="0" distL="114300" distR="114300" simplePos="0" relativeHeight="251646976" behindDoc="0" locked="0" layoutInCell="1" allowOverlap="1" wp14:anchorId="4C71820A" wp14:editId="3996939F">
              <wp:simplePos x="0" y="0"/>
              <wp:positionH relativeFrom="column">
                <wp:posOffset>5608633</wp:posOffset>
              </wp:positionH>
              <wp:positionV relativeFrom="paragraph">
                <wp:posOffset>-123825</wp:posOffset>
              </wp:positionV>
              <wp:extent cx="1080000" cy="271780"/>
              <wp:effectExtent l="0" t="0" r="6350" b="0"/>
              <wp:wrapNone/>
              <wp:docPr id="2092142420" name="Grupo 2092142420"/>
              <wp:cNvGraphicFramePr/>
              <a:graphic xmlns:a="http://schemas.openxmlformats.org/drawingml/2006/main">
                <a:graphicData uri="http://schemas.microsoft.com/office/word/2010/wordprocessingGroup">
                  <wpg:wgp>
                    <wpg:cNvGrpSpPr/>
                    <wpg:grpSpPr>
                      <a:xfrm flipH="1">
                        <a:off x="0" y="0"/>
                        <a:ext cx="1080000" cy="271780"/>
                        <a:chOff x="0" y="-19050"/>
                        <a:chExt cx="2962275" cy="271780"/>
                      </a:xfrm>
                    </wpg:grpSpPr>
                    <wps:wsp>
                      <wps:cNvPr id="1019212149" name="37 Rectángulo"/>
                      <wps:cNvSpPr/>
                      <wps:spPr>
                        <a:xfrm rot="10800000">
                          <a:off x="0" y="-19050"/>
                          <a:ext cx="2962275" cy="71755"/>
                        </a:xfrm>
                        <a:prstGeom prst="rect">
                          <a:avLst/>
                        </a:prstGeom>
                        <a:gradFill flip="none" rotWithShape="1">
                          <a:gsLst>
                            <a:gs pos="0">
                              <a:srgbClr val="632523"/>
                            </a:gs>
                            <a:gs pos="37000">
                              <a:srgbClr val="C35855"/>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986624" name="37 Rectángulo"/>
                      <wps:cNvSpPr/>
                      <wps:spPr>
                        <a:xfrm rot="10800000">
                          <a:off x="0" y="180975"/>
                          <a:ext cx="2962275" cy="71755"/>
                        </a:xfrm>
                        <a:prstGeom prst="rect">
                          <a:avLst/>
                        </a:prstGeom>
                        <a:gradFill flip="none" rotWithShape="1">
                          <a:gsLst>
                            <a:gs pos="0">
                              <a:srgbClr val="632523"/>
                            </a:gs>
                            <a:gs pos="37000">
                              <a:srgbClr val="C35855"/>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405A14D" id="Grupo 2092142420" o:spid="_x0000_s1026" style="position:absolute;margin-left:441.6pt;margin-top:-9.75pt;width:85.05pt;height:21.4pt;flip:x;z-index:251646976;mso-width-relative:margin;mso-height-relative:margin" coordorigin=",-190" coordsize="29622,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">
              <v:rect id="37 Rectángulo" o:spid="_x0000_s1027" style="position:absolute;top:-190;width:29622;height:71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" fillcolor="#632523" stroked="f" strokeweight="2pt">
                <v:fill color2="white [3212]" rotate="t" focusposition="1,1" focussize="" colors="0 #632523;24248f #c35855;53084f white" focus="100%" type="gradientRadial"/>
              </v:rect>
              <v:rect id="37 Rectángulo" o:spid="_x0000_s1028" style="position:absolute;top:1809;width:29622;height:71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" fillcolor="#632523" stroked="f" strokeweight="2pt">
                <v:fill color2="white [3212]" rotate="t" focusposition="1,1" focussize="" colors="0 #632523;24248f #c35855;53084f white" focus="100%" type="gradientRadial"/>
              </v:rect>
            </v:group>
          </w:pict>
        </mc:Fallback>
      </mc:AlternateContent>
    </w:r>
  </w:p>
  <w:p w14:paraId="7D4BD9E6" w14:textId="77777777" w:rsidR="00F43EAE" w:rsidRPr="00682DE3" w:rsidRDefault="00F43EAE" w:rsidP="00682DE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748"/>
    <w:multiLevelType w:val="hybridMultilevel"/>
    <w:tmpl w:val="CE9839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537A36"/>
    <w:multiLevelType w:val="hybridMultilevel"/>
    <w:tmpl w:val="67B865E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02CC7D2B"/>
    <w:multiLevelType w:val="hybridMultilevel"/>
    <w:tmpl w:val="4394F40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15:restartNumberingAfterBreak="0">
    <w:nsid w:val="040736EC"/>
    <w:multiLevelType w:val="hybridMultilevel"/>
    <w:tmpl w:val="341A414C"/>
    <w:lvl w:ilvl="0" w:tplc="FFFFFFFF">
      <w:start w:val="1"/>
      <w:numFmt w:val="lowerLetter"/>
      <w:lvlText w:val="%1."/>
      <w:lvlJc w:val="left"/>
      <w:pPr>
        <w:ind w:left="720" w:hanging="360"/>
      </w:pPr>
      <w:rPr>
        <w:rFonts w:hint="default"/>
      </w:rPr>
    </w:lvl>
    <w:lvl w:ilvl="1" w:tplc="764E0DC0">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716B2E"/>
    <w:multiLevelType w:val="hybridMultilevel"/>
    <w:tmpl w:val="270414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7F60AA4"/>
    <w:multiLevelType w:val="multilevel"/>
    <w:tmpl w:val="6324D94A"/>
    <w:styleLink w:val="Estilo95"/>
    <w:lvl w:ilvl="0">
      <w:start w:val="6"/>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8D44C58"/>
    <w:multiLevelType w:val="multilevel"/>
    <w:tmpl w:val="6324D94A"/>
    <w:styleLink w:val="Estilo97"/>
    <w:lvl w:ilvl="0">
      <w:start w:val="9"/>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95A7FAC"/>
    <w:multiLevelType w:val="multilevel"/>
    <w:tmpl w:val="38B60A30"/>
    <w:styleLink w:val="Estilo2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CF05F2"/>
    <w:multiLevelType w:val="hybridMultilevel"/>
    <w:tmpl w:val="E6DC35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EFE476C"/>
    <w:multiLevelType w:val="hybridMultilevel"/>
    <w:tmpl w:val="7BB6789C"/>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15:restartNumberingAfterBreak="0">
    <w:nsid w:val="1010616A"/>
    <w:multiLevelType w:val="multilevel"/>
    <w:tmpl w:val="0C0A001F"/>
    <w:styleLink w:val="Estilo76"/>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034FA2"/>
    <w:multiLevelType w:val="hybridMultilevel"/>
    <w:tmpl w:val="5E2C3F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22250AA"/>
    <w:multiLevelType w:val="hybridMultilevel"/>
    <w:tmpl w:val="AA506C6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3" w15:restartNumberingAfterBreak="0">
    <w:nsid w:val="133642BC"/>
    <w:multiLevelType w:val="hybridMultilevel"/>
    <w:tmpl w:val="E6DC35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3567477"/>
    <w:multiLevelType w:val="multilevel"/>
    <w:tmpl w:val="0C0A001F"/>
    <w:styleLink w:val="Estilo88"/>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3D80599"/>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4453E92"/>
    <w:multiLevelType w:val="hybridMultilevel"/>
    <w:tmpl w:val="746CBC46"/>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72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17BA0092"/>
    <w:multiLevelType w:val="multilevel"/>
    <w:tmpl w:val="6324D94A"/>
    <w:styleLink w:val="Estilo101"/>
    <w:lvl w:ilvl="0">
      <w:start w:val="13"/>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189827E7"/>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8A2465F"/>
    <w:multiLevelType w:val="hybridMultilevel"/>
    <w:tmpl w:val="F2C2B322"/>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0" w15:restartNumberingAfterBreak="0">
    <w:nsid w:val="1AE50B45"/>
    <w:multiLevelType w:val="hybridMultilevel"/>
    <w:tmpl w:val="792AA7DC"/>
    <w:lvl w:ilvl="0" w:tplc="E41CCB3C">
      <w:start w:val="1"/>
      <w:numFmt w:val="decimal"/>
      <w:lvlText w:val="%1."/>
      <w:lvlJc w:val="left"/>
      <w:pPr>
        <w:ind w:left="928" w:hanging="360"/>
      </w:pPr>
      <w:rPr>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1" w15:restartNumberingAfterBreak="0">
    <w:nsid w:val="1C8F4151"/>
    <w:multiLevelType w:val="hybridMultilevel"/>
    <w:tmpl w:val="17C2B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104408F"/>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56D76F5"/>
    <w:multiLevelType w:val="hybridMultilevel"/>
    <w:tmpl w:val="204A1D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260D7360"/>
    <w:multiLevelType w:val="multilevel"/>
    <w:tmpl w:val="6324D94A"/>
    <w:styleLink w:val="Estilo104"/>
    <w:lvl w:ilvl="0">
      <w:start w:val="16"/>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26262B07"/>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7C445DD"/>
    <w:multiLevelType w:val="multilevel"/>
    <w:tmpl w:val="6324D94A"/>
    <w:styleLink w:val="Estilo100"/>
    <w:lvl w:ilvl="0">
      <w:start w:val="12"/>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29E73F6D"/>
    <w:multiLevelType w:val="multilevel"/>
    <w:tmpl w:val="6324D94A"/>
    <w:styleLink w:val="Estilo107"/>
    <w:lvl w:ilvl="0">
      <w:start w:val="19"/>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2CEC0B34"/>
    <w:multiLevelType w:val="hybridMultilevel"/>
    <w:tmpl w:val="A03EE278"/>
    <w:lvl w:ilvl="0" w:tplc="F3DCC9C2">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2F9D4DE9"/>
    <w:multiLevelType w:val="hybridMultilevel"/>
    <w:tmpl w:val="4F3AE2C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0" w15:restartNumberingAfterBreak="0">
    <w:nsid w:val="30FB4523"/>
    <w:multiLevelType w:val="hybridMultilevel"/>
    <w:tmpl w:val="0464B36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1" w15:restartNumberingAfterBreak="0">
    <w:nsid w:val="348B041F"/>
    <w:multiLevelType w:val="multilevel"/>
    <w:tmpl w:val="0C0A001F"/>
    <w:styleLink w:val="Estilo37"/>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4A72E8D"/>
    <w:multiLevelType w:val="multilevel"/>
    <w:tmpl w:val="0A42FCB6"/>
    <w:styleLink w:val="Estilo108"/>
    <w:lvl w:ilvl="0">
      <w:start w:val="20"/>
      <w:numFmt w:val="decimal"/>
      <w:lvlText w:val="%1"/>
      <w:lvlJc w:val="left"/>
      <w:pPr>
        <w:tabs>
          <w:tab w:val="num" w:pos="1140"/>
        </w:tabs>
        <w:ind w:left="1140" w:hanging="1140"/>
      </w:pPr>
      <w:rPr>
        <w:rFonts w:hint="default"/>
      </w:rPr>
    </w:lvl>
    <w:lvl w:ilvl="1">
      <w:start w:val="1"/>
      <w:numFmt w:val="decimal"/>
      <w:lvlText w:val="%1.%2"/>
      <w:lvlJc w:val="left"/>
      <w:pPr>
        <w:tabs>
          <w:tab w:val="num" w:pos="1471"/>
        </w:tabs>
        <w:ind w:left="1471" w:hanging="1140"/>
      </w:pPr>
      <w:rPr>
        <w:rFonts w:hint="default"/>
      </w:rPr>
    </w:lvl>
    <w:lvl w:ilvl="2">
      <w:start w:val="2"/>
      <w:numFmt w:val="decimal"/>
      <w:lvlText w:val="%1.%2.%3"/>
      <w:lvlJc w:val="left"/>
      <w:pPr>
        <w:tabs>
          <w:tab w:val="num" w:pos="1802"/>
        </w:tabs>
        <w:ind w:left="1802" w:hanging="1140"/>
      </w:pPr>
      <w:rPr>
        <w:rFonts w:hint="default"/>
      </w:rPr>
    </w:lvl>
    <w:lvl w:ilvl="3">
      <w:start w:val="1"/>
      <w:numFmt w:val="decimal"/>
      <w:lvlText w:val="%1.%2.%3.%4"/>
      <w:lvlJc w:val="left"/>
      <w:pPr>
        <w:tabs>
          <w:tab w:val="num" w:pos="2133"/>
        </w:tabs>
        <w:ind w:left="2133" w:hanging="1140"/>
      </w:pPr>
      <w:rPr>
        <w:rFonts w:hint="default"/>
      </w:rPr>
    </w:lvl>
    <w:lvl w:ilvl="4">
      <w:start w:val="1"/>
      <w:numFmt w:val="decimal"/>
      <w:lvlText w:val="%1.%2.%3.%4.%5"/>
      <w:lvlJc w:val="left"/>
      <w:pPr>
        <w:tabs>
          <w:tab w:val="num" w:pos="2464"/>
        </w:tabs>
        <w:ind w:left="2464" w:hanging="114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33" w15:restartNumberingAfterBreak="0">
    <w:nsid w:val="353151E0"/>
    <w:multiLevelType w:val="multilevel"/>
    <w:tmpl w:val="6324D94A"/>
    <w:styleLink w:val="Estilo102"/>
    <w:lvl w:ilvl="0">
      <w:start w:val="14"/>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35A822E1"/>
    <w:multiLevelType w:val="hybridMultilevel"/>
    <w:tmpl w:val="133AE84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36A87FDF"/>
    <w:multiLevelType w:val="hybridMultilevel"/>
    <w:tmpl w:val="11ECF0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3BDF16F1"/>
    <w:multiLevelType w:val="multilevel"/>
    <w:tmpl w:val="A62A27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3BFE4DEF"/>
    <w:multiLevelType w:val="hybridMultilevel"/>
    <w:tmpl w:val="23AE4F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3CBA71BB"/>
    <w:multiLevelType w:val="hybridMultilevel"/>
    <w:tmpl w:val="0E76FFC8"/>
    <w:lvl w:ilvl="0" w:tplc="080A0019">
      <w:start w:val="1"/>
      <w:numFmt w:val="lowerLetter"/>
      <w:lvlText w:val="%1."/>
      <w:lvlJc w:val="left"/>
      <w:pPr>
        <w:ind w:left="720" w:hanging="360"/>
      </w:pPr>
      <w:rPr>
        <w:rFonts w:hint="default"/>
      </w:rPr>
    </w:lvl>
    <w:lvl w:ilvl="1" w:tplc="C472E2A6">
      <w:start w:val="1"/>
      <w:numFmt w:val="decimal"/>
      <w:lvlText w:val="(%2)"/>
      <w:lvlJc w:val="left"/>
      <w:pPr>
        <w:ind w:left="1440" w:hanging="360"/>
      </w:pPr>
      <w:rPr>
        <w:rFonts w:hint="default"/>
      </w:rPr>
    </w:lvl>
    <w:lvl w:ilvl="2" w:tplc="D262AA0A">
      <w:start w:val="1"/>
      <w:numFmt w:val="lowerLetter"/>
      <w:lvlText w:val="%3)"/>
      <w:lvlJc w:val="left"/>
      <w:pPr>
        <w:ind w:left="2340" w:hanging="360"/>
      </w:pPr>
      <w:rPr>
        <w:rFonts w:hint="default"/>
      </w:rPr>
    </w:lvl>
    <w:lvl w:ilvl="3" w:tplc="226AA918">
      <w:start w:val="1"/>
      <w:numFmt w:val="bullet"/>
      <w:lvlText w:val="•"/>
      <w:lvlJc w:val="left"/>
      <w:pPr>
        <w:ind w:left="2880" w:hanging="360"/>
      </w:pPr>
      <w:rPr>
        <w:rFonts w:ascii="Arial" w:eastAsiaTheme="minorHAnsi" w:hAnsi="Arial" w:cs="Arial"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3EF037C9"/>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15B778F"/>
    <w:multiLevelType w:val="hybridMultilevel"/>
    <w:tmpl w:val="3BACB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1" w15:restartNumberingAfterBreak="0">
    <w:nsid w:val="43AC6BCF"/>
    <w:multiLevelType w:val="hybridMultilevel"/>
    <w:tmpl w:val="55088D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47025288"/>
    <w:multiLevelType w:val="hybridMultilevel"/>
    <w:tmpl w:val="D0A0015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3" w15:restartNumberingAfterBreak="0">
    <w:nsid w:val="47391F40"/>
    <w:multiLevelType w:val="hybridMultilevel"/>
    <w:tmpl w:val="1D06B3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477D4D9F"/>
    <w:multiLevelType w:val="hybridMultilevel"/>
    <w:tmpl w:val="196C9E5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5" w15:restartNumberingAfterBreak="0">
    <w:nsid w:val="488301C8"/>
    <w:multiLevelType w:val="multilevel"/>
    <w:tmpl w:val="0B10DF26"/>
    <w:lvl w:ilvl="0">
      <w:start w:val="1"/>
      <w:numFmt w:val="decimal"/>
      <w:lvlText w:val="%1."/>
      <w:lvlJc w:val="left"/>
      <w:pPr>
        <w:ind w:left="360" w:hanging="360"/>
      </w:pPr>
    </w:lvl>
    <w:lvl w:ilvl="1">
      <w:start w:val="4"/>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491B65C2"/>
    <w:multiLevelType w:val="hybridMultilevel"/>
    <w:tmpl w:val="11ECF0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49982231"/>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AD80181"/>
    <w:multiLevelType w:val="hybridMultilevel"/>
    <w:tmpl w:val="81C01086"/>
    <w:lvl w:ilvl="0" w:tplc="27682F62">
      <w:start w:val="1"/>
      <w:numFmt w:val="bullet"/>
      <w:lvlText w:val=""/>
      <w:lvlJc w:val="left"/>
      <w:pPr>
        <w:ind w:left="360" w:hanging="360"/>
      </w:pPr>
      <w:rPr>
        <w:rFonts w:ascii="Symbol" w:hAnsi="Symbol" w:hint="default"/>
      </w:rPr>
    </w:lvl>
    <w:lvl w:ilvl="1" w:tplc="59E402B0">
      <w:numFmt w:val="bullet"/>
      <w:lvlText w:val="•"/>
      <w:lvlJc w:val="left"/>
      <w:pPr>
        <w:ind w:left="1260" w:hanging="540"/>
      </w:pPr>
      <w:rPr>
        <w:rFonts w:ascii="Century Gothic" w:eastAsia="Times" w:hAnsi="Century Gothic" w:cs="Arial" w:hint="default"/>
      </w:rPr>
    </w:lvl>
    <w:lvl w:ilvl="2" w:tplc="0C0A001B" w:tentative="1">
      <w:start w:val="1"/>
      <w:numFmt w:val="bullet"/>
      <w:lvlText w:val=""/>
      <w:lvlJc w:val="left"/>
      <w:pPr>
        <w:ind w:left="1800" w:hanging="360"/>
      </w:pPr>
      <w:rPr>
        <w:rFonts w:ascii="Wingdings" w:hAnsi="Wingdings" w:hint="default"/>
      </w:rPr>
    </w:lvl>
    <w:lvl w:ilvl="3" w:tplc="0C0A000F" w:tentative="1">
      <w:start w:val="1"/>
      <w:numFmt w:val="bullet"/>
      <w:lvlText w:val=""/>
      <w:lvlJc w:val="left"/>
      <w:pPr>
        <w:ind w:left="2520" w:hanging="360"/>
      </w:pPr>
      <w:rPr>
        <w:rFonts w:ascii="Symbol" w:hAnsi="Symbol" w:hint="default"/>
      </w:rPr>
    </w:lvl>
    <w:lvl w:ilvl="4" w:tplc="0C0A0019" w:tentative="1">
      <w:start w:val="1"/>
      <w:numFmt w:val="bullet"/>
      <w:lvlText w:val="o"/>
      <w:lvlJc w:val="left"/>
      <w:pPr>
        <w:ind w:left="3240" w:hanging="360"/>
      </w:pPr>
      <w:rPr>
        <w:rFonts w:ascii="Courier New" w:hAnsi="Courier New" w:cs="Courier New" w:hint="default"/>
      </w:rPr>
    </w:lvl>
    <w:lvl w:ilvl="5" w:tplc="0C0A001B" w:tentative="1">
      <w:start w:val="1"/>
      <w:numFmt w:val="bullet"/>
      <w:lvlText w:val=""/>
      <w:lvlJc w:val="left"/>
      <w:pPr>
        <w:ind w:left="3960" w:hanging="360"/>
      </w:pPr>
      <w:rPr>
        <w:rFonts w:ascii="Wingdings" w:hAnsi="Wingdings" w:hint="default"/>
      </w:rPr>
    </w:lvl>
    <w:lvl w:ilvl="6" w:tplc="0C0A000F" w:tentative="1">
      <w:start w:val="1"/>
      <w:numFmt w:val="bullet"/>
      <w:lvlText w:val=""/>
      <w:lvlJc w:val="left"/>
      <w:pPr>
        <w:ind w:left="4680" w:hanging="360"/>
      </w:pPr>
      <w:rPr>
        <w:rFonts w:ascii="Symbol" w:hAnsi="Symbol" w:hint="default"/>
      </w:rPr>
    </w:lvl>
    <w:lvl w:ilvl="7" w:tplc="0C0A0019" w:tentative="1">
      <w:start w:val="1"/>
      <w:numFmt w:val="bullet"/>
      <w:lvlText w:val="o"/>
      <w:lvlJc w:val="left"/>
      <w:pPr>
        <w:ind w:left="5400" w:hanging="360"/>
      </w:pPr>
      <w:rPr>
        <w:rFonts w:ascii="Courier New" w:hAnsi="Courier New" w:cs="Courier New" w:hint="default"/>
      </w:rPr>
    </w:lvl>
    <w:lvl w:ilvl="8" w:tplc="0C0A001B" w:tentative="1">
      <w:start w:val="1"/>
      <w:numFmt w:val="bullet"/>
      <w:lvlText w:val=""/>
      <w:lvlJc w:val="left"/>
      <w:pPr>
        <w:ind w:left="6120" w:hanging="360"/>
      </w:pPr>
      <w:rPr>
        <w:rFonts w:ascii="Wingdings" w:hAnsi="Wingdings" w:hint="default"/>
      </w:rPr>
    </w:lvl>
  </w:abstractNum>
  <w:abstractNum w:abstractNumId="49" w15:restartNumberingAfterBreak="0">
    <w:nsid w:val="4B0C4E22"/>
    <w:multiLevelType w:val="hybridMultilevel"/>
    <w:tmpl w:val="49F826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4BE84BDC"/>
    <w:multiLevelType w:val="hybridMultilevel"/>
    <w:tmpl w:val="8006DC6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4C1341CB"/>
    <w:multiLevelType w:val="hybridMultilevel"/>
    <w:tmpl w:val="7E2C005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2" w15:restartNumberingAfterBreak="0">
    <w:nsid w:val="4D8F25E1"/>
    <w:multiLevelType w:val="hybridMultilevel"/>
    <w:tmpl w:val="D1BC96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4DF02431"/>
    <w:multiLevelType w:val="hybridMultilevel"/>
    <w:tmpl w:val="7C74CC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4EB2390E"/>
    <w:multiLevelType w:val="hybridMultilevel"/>
    <w:tmpl w:val="E6DC35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4F0F3D6A"/>
    <w:multiLevelType w:val="multilevel"/>
    <w:tmpl w:val="80BC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02C7D6B"/>
    <w:multiLevelType w:val="multilevel"/>
    <w:tmpl w:val="0630B160"/>
    <w:styleLink w:val="Estilo106"/>
    <w:lvl w:ilvl="0">
      <w:start w:val="18"/>
      <w:numFmt w:val="decimal"/>
      <w:lvlText w:val="%1."/>
      <w:lvlJc w:val="left"/>
      <w:pPr>
        <w:ind w:left="360" w:hanging="360"/>
      </w:pPr>
      <w:rPr>
        <w:rFonts w:hint="default"/>
        <w:sz w:val="20"/>
        <w:szCs w:val="24"/>
      </w:rPr>
    </w:lvl>
    <w:lvl w:ilvl="1">
      <w:start w:val="1"/>
      <w:numFmt w:val="decimal"/>
      <w:lvlText w:val="%1.%2."/>
      <w:lvlJc w:val="left"/>
      <w:pPr>
        <w:ind w:left="705" w:hanging="705"/>
      </w:p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7" w15:restartNumberingAfterBreak="0">
    <w:nsid w:val="51724E3E"/>
    <w:multiLevelType w:val="hybridMultilevel"/>
    <w:tmpl w:val="E870A1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55C64F1A"/>
    <w:multiLevelType w:val="hybridMultilevel"/>
    <w:tmpl w:val="84AE9F9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9" w15:restartNumberingAfterBreak="0">
    <w:nsid w:val="575F0CEC"/>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A6C391B"/>
    <w:multiLevelType w:val="hybridMultilevel"/>
    <w:tmpl w:val="15B4F6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1" w15:restartNumberingAfterBreak="0">
    <w:nsid w:val="5A9F4C57"/>
    <w:multiLevelType w:val="hybridMultilevel"/>
    <w:tmpl w:val="E6DC35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5B2E3C4C"/>
    <w:multiLevelType w:val="hybridMultilevel"/>
    <w:tmpl w:val="F148E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5C6B3B74"/>
    <w:multiLevelType w:val="multilevel"/>
    <w:tmpl w:val="6324D94A"/>
    <w:styleLink w:val="Estilo96"/>
    <w:lvl w:ilvl="0">
      <w:start w:val="7"/>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4" w15:restartNumberingAfterBreak="0">
    <w:nsid w:val="61D86625"/>
    <w:multiLevelType w:val="hybridMultilevel"/>
    <w:tmpl w:val="99561244"/>
    <w:lvl w:ilvl="0" w:tplc="080A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23E35B8"/>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2A518B3"/>
    <w:multiLevelType w:val="hybridMultilevel"/>
    <w:tmpl w:val="6DD4E300"/>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7" w15:restartNumberingAfterBreak="0">
    <w:nsid w:val="63C42B61"/>
    <w:multiLevelType w:val="hybridMultilevel"/>
    <w:tmpl w:val="E222EE2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8" w15:restartNumberingAfterBreak="0">
    <w:nsid w:val="6665043F"/>
    <w:multiLevelType w:val="hybridMultilevel"/>
    <w:tmpl w:val="4962BC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670B62A3"/>
    <w:multiLevelType w:val="multilevel"/>
    <w:tmpl w:val="6324D94A"/>
    <w:styleLink w:val="Estilo103"/>
    <w:lvl w:ilvl="0">
      <w:start w:val="15"/>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0" w15:restartNumberingAfterBreak="0">
    <w:nsid w:val="67E63C56"/>
    <w:multiLevelType w:val="hybridMultilevel"/>
    <w:tmpl w:val="D43C9F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69CC7E28"/>
    <w:multiLevelType w:val="multilevel"/>
    <w:tmpl w:val="428E9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9D676B5"/>
    <w:multiLevelType w:val="multilevel"/>
    <w:tmpl w:val="F770266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A2D17C8"/>
    <w:multiLevelType w:val="hybridMultilevel"/>
    <w:tmpl w:val="070E12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15:restartNumberingAfterBreak="0">
    <w:nsid w:val="6B1D79C4"/>
    <w:multiLevelType w:val="hybridMultilevel"/>
    <w:tmpl w:val="CCC8BDA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6B8B148F"/>
    <w:multiLevelType w:val="hybridMultilevel"/>
    <w:tmpl w:val="C28AC9C8"/>
    <w:lvl w:ilvl="0" w:tplc="8C205062">
      <w:start w:val="1"/>
      <w:numFmt w:val="bullet"/>
      <w:lvlText w:val="­"/>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15:restartNumberingAfterBreak="0">
    <w:nsid w:val="6DDF5F49"/>
    <w:multiLevelType w:val="hybridMultilevel"/>
    <w:tmpl w:val="7DBADCBA"/>
    <w:lvl w:ilvl="0" w:tplc="8C205062">
      <w:start w:val="1"/>
      <w:numFmt w:val="bullet"/>
      <w:lvlText w:val="­"/>
      <w:lvlJc w:val="left"/>
      <w:pPr>
        <w:ind w:left="1068" w:hanging="360"/>
      </w:pPr>
      <w:rPr>
        <w:rFonts w:ascii="Courier New" w:hAnsi="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77" w15:restartNumberingAfterBreak="0">
    <w:nsid w:val="6EEB7EE3"/>
    <w:multiLevelType w:val="hybridMultilevel"/>
    <w:tmpl w:val="498046D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78" w15:restartNumberingAfterBreak="0">
    <w:nsid w:val="6FAF6982"/>
    <w:multiLevelType w:val="hybridMultilevel"/>
    <w:tmpl w:val="018A826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9" w15:restartNumberingAfterBreak="0">
    <w:nsid w:val="74DE3623"/>
    <w:multiLevelType w:val="hybridMultilevel"/>
    <w:tmpl w:val="3C9825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15:restartNumberingAfterBreak="0">
    <w:nsid w:val="76C65487"/>
    <w:multiLevelType w:val="multilevel"/>
    <w:tmpl w:val="6324D94A"/>
    <w:styleLink w:val="Estilo105"/>
    <w:lvl w:ilvl="0">
      <w:start w:val="17"/>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1" w15:restartNumberingAfterBreak="0">
    <w:nsid w:val="780F3366"/>
    <w:multiLevelType w:val="hybridMultilevel"/>
    <w:tmpl w:val="028C1F1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2" w15:restartNumberingAfterBreak="0">
    <w:nsid w:val="785B0948"/>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8E94F56"/>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9226904"/>
    <w:multiLevelType w:val="hybridMultilevel"/>
    <w:tmpl w:val="61742796"/>
    <w:lvl w:ilvl="0" w:tplc="080A0017">
      <w:start w:val="1"/>
      <w:numFmt w:val="lowerLetter"/>
      <w:lvlText w:val="%1)"/>
      <w:lvlJc w:val="left"/>
      <w:pPr>
        <w:ind w:left="720" w:hanging="360"/>
      </w:pPr>
    </w:lvl>
    <w:lvl w:ilvl="1" w:tplc="28B02C12">
      <w:start w:val="1"/>
      <w:numFmt w:val="low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7A6C553C"/>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D0F7CFC"/>
    <w:multiLevelType w:val="hybridMultilevel"/>
    <w:tmpl w:val="24AAF9D6"/>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7" w15:restartNumberingAfterBreak="0">
    <w:nsid w:val="7D905E8F"/>
    <w:multiLevelType w:val="multilevel"/>
    <w:tmpl w:val="6324D94A"/>
    <w:styleLink w:val="Estilo99"/>
    <w:lvl w:ilvl="0">
      <w:start w:val="11"/>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8" w15:restartNumberingAfterBreak="0">
    <w:nsid w:val="7DFF6279"/>
    <w:multiLevelType w:val="hybridMultilevel"/>
    <w:tmpl w:val="25EACD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76002802">
    <w:abstractNumId w:val="48"/>
  </w:num>
  <w:num w:numId="2" w16cid:durableId="866529211">
    <w:abstractNumId w:val="10"/>
  </w:num>
  <w:num w:numId="3" w16cid:durableId="2121489026">
    <w:abstractNumId w:val="75"/>
  </w:num>
  <w:num w:numId="4" w16cid:durableId="89353268">
    <w:abstractNumId w:val="70"/>
  </w:num>
  <w:num w:numId="5" w16cid:durableId="1682926940">
    <w:abstractNumId w:val="84"/>
  </w:num>
  <w:num w:numId="6" w16cid:durableId="335957436">
    <w:abstractNumId w:val="0"/>
  </w:num>
  <w:num w:numId="7" w16cid:durableId="885798064">
    <w:abstractNumId w:val="76"/>
  </w:num>
  <w:num w:numId="8" w16cid:durableId="116411677">
    <w:abstractNumId w:val="28"/>
  </w:num>
  <w:num w:numId="9" w16cid:durableId="1557012856">
    <w:abstractNumId w:val="34"/>
  </w:num>
  <w:num w:numId="10" w16cid:durableId="18240336">
    <w:abstractNumId w:val="62"/>
  </w:num>
  <w:num w:numId="11" w16cid:durableId="1588802289">
    <w:abstractNumId w:val="50"/>
  </w:num>
  <w:num w:numId="12" w16cid:durableId="1206523077">
    <w:abstractNumId w:val="74"/>
  </w:num>
  <w:num w:numId="13" w16cid:durableId="278071392">
    <w:abstractNumId w:val="45"/>
  </w:num>
  <w:num w:numId="14" w16cid:durableId="1095662633">
    <w:abstractNumId w:val="46"/>
  </w:num>
  <w:num w:numId="15" w16cid:durableId="193274607">
    <w:abstractNumId w:val="13"/>
  </w:num>
  <w:num w:numId="16" w16cid:durableId="1130977065">
    <w:abstractNumId w:val="61"/>
  </w:num>
  <w:num w:numId="17" w16cid:durableId="474027745">
    <w:abstractNumId w:val="31"/>
  </w:num>
  <w:num w:numId="18" w16cid:durableId="979043572">
    <w:abstractNumId w:val="38"/>
  </w:num>
  <w:num w:numId="19" w16cid:durableId="706754352">
    <w:abstractNumId w:val="14"/>
  </w:num>
  <w:num w:numId="20" w16cid:durableId="2103840168">
    <w:abstractNumId w:val="8"/>
  </w:num>
  <w:num w:numId="21" w16cid:durableId="1128276177">
    <w:abstractNumId w:val="5"/>
  </w:num>
  <w:num w:numId="22" w16cid:durableId="1220366206">
    <w:abstractNumId w:val="63"/>
  </w:num>
  <w:num w:numId="23" w16cid:durableId="529297375">
    <w:abstractNumId w:val="7"/>
  </w:num>
  <w:num w:numId="24" w16cid:durableId="1419517230">
    <w:abstractNumId w:val="54"/>
  </w:num>
  <w:num w:numId="25" w16cid:durableId="1059014890">
    <w:abstractNumId w:val="6"/>
  </w:num>
  <w:num w:numId="26" w16cid:durableId="1505971847">
    <w:abstractNumId w:val="3"/>
  </w:num>
  <w:num w:numId="27" w16cid:durableId="1772357343">
    <w:abstractNumId w:val="83"/>
  </w:num>
  <w:num w:numId="28" w16cid:durableId="1596131782">
    <w:abstractNumId w:val="87"/>
  </w:num>
  <w:num w:numId="29" w16cid:durableId="295913840">
    <w:abstractNumId w:val="25"/>
  </w:num>
  <w:num w:numId="30" w16cid:durableId="1334989551">
    <w:abstractNumId w:val="26"/>
  </w:num>
  <w:num w:numId="31" w16cid:durableId="2017341912">
    <w:abstractNumId w:val="17"/>
  </w:num>
  <w:num w:numId="32" w16cid:durableId="551768236">
    <w:abstractNumId w:val="39"/>
  </w:num>
  <w:num w:numId="33" w16cid:durableId="817264178">
    <w:abstractNumId w:val="33"/>
  </w:num>
  <w:num w:numId="34" w16cid:durableId="1407530569">
    <w:abstractNumId w:val="65"/>
  </w:num>
  <w:num w:numId="35" w16cid:durableId="34083354">
    <w:abstractNumId w:val="69"/>
  </w:num>
  <w:num w:numId="36" w16cid:durableId="470094866">
    <w:abstractNumId w:val="24"/>
  </w:num>
  <w:num w:numId="37" w16cid:durableId="46875087">
    <w:abstractNumId w:val="15"/>
  </w:num>
  <w:num w:numId="38" w16cid:durableId="1785728608">
    <w:abstractNumId w:val="80"/>
  </w:num>
  <w:num w:numId="39" w16cid:durableId="186718042">
    <w:abstractNumId w:val="47"/>
  </w:num>
  <w:num w:numId="40" w16cid:durableId="320889235">
    <w:abstractNumId w:val="56"/>
  </w:num>
  <w:num w:numId="41" w16cid:durableId="498010805">
    <w:abstractNumId w:val="85"/>
  </w:num>
  <w:num w:numId="42" w16cid:durableId="1925456368">
    <w:abstractNumId w:val="27"/>
  </w:num>
  <w:num w:numId="43" w16cid:durableId="35352912">
    <w:abstractNumId w:val="59"/>
  </w:num>
  <w:num w:numId="44" w16cid:durableId="924613822">
    <w:abstractNumId w:val="32"/>
  </w:num>
  <w:num w:numId="45" w16cid:durableId="372192739">
    <w:abstractNumId w:val="82"/>
  </w:num>
  <w:num w:numId="46" w16cid:durableId="2033265529">
    <w:abstractNumId w:val="22"/>
  </w:num>
  <w:num w:numId="47" w16cid:durableId="104888463">
    <w:abstractNumId w:val="18"/>
  </w:num>
  <w:num w:numId="48" w16cid:durableId="2019576347">
    <w:abstractNumId w:val="64"/>
  </w:num>
  <w:num w:numId="49" w16cid:durableId="980696792">
    <w:abstractNumId w:val="20"/>
  </w:num>
  <w:num w:numId="50" w16cid:durableId="1727874043">
    <w:abstractNumId w:val="72"/>
  </w:num>
  <w:num w:numId="51" w16cid:durableId="495463590">
    <w:abstractNumId w:val="55"/>
  </w:num>
  <w:num w:numId="52" w16cid:durableId="300621048">
    <w:abstractNumId w:val="51"/>
  </w:num>
  <w:num w:numId="53" w16cid:durableId="1978073750">
    <w:abstractNumId w:val="21"/>
  </w:num>
  <w:num w:numId="54" w16cid:durableId="1455557600">
    <w:abstractNumId w:val="16"/>
  </w:num>
  <w:num w:numId="55" w16cid:durableId="828864033">
    <w:abstractNumId w:val="81"/>
  </w:num>
  <w:num w:numId="56" w16cid:durableId="292448913">
    <w:abstractNumId w:val="41"/>
  </w:num>
  <w:num w:numId="57" w16cid:durableId="1500344368">
    <w:abstractNumId w:val="37"/>
  </w:num>
  <w:num w:numId="58" w16cid:durableId="216210596">
    <w:abstractNumId w:val="77"/>
  </w:num>
  <w:num w:numId="59" w16cid:durableId="543762086">
    <w:abstractNumId w:val="66"/>
  </w:num>
  <w:num w:numId="60" w16cid:durableId="1432581163">
    <w:abstractNumId w:val="2"/>
  </w:num>
  <w:num w:numId="61" w16cid:durableId="1532961880">
    <w:abstractNumId w:val="12"/>
  </w:num>
  <w:num w:numId="62" w16cid:durableId="1957789658">
    <w:abstractNumId w:val="30"/>
  </w:num>
  <w:num w:numId="63" w16cid:durableId="1010792697">
    <w:abstractNumId w:val="19"/>
  </w:num>
  <w:num w:numId="64" w16cid:durableId="1800032551">
    <w:abstractNumId w:val="9"/>
  </w:num>
  <w:num w:numId="65" w16cid:durableId="1105690308">
    <w:abstractNumId w:val="86"/>
  </w:num>
  <w:num w:numId="66" w16cid:durableId="1997029094">
    <w:abstractNumId w:val="29"/>
  </w:num>
  <w:num w:numId="67" w16cid:durableId="2017223040">
    <w:abstractNumId w:val="78"/>
  </w:num>
  <w:num w:numId="68" w16cid:durableId="909731281">
    <w:abstractNumId w:val="42"/>
  </w:num>
  <w:num w:numId="69" w16cid:durableId="404882641">
    <w:abstractNumId w:val="44"/>
  </w:num>
  <w:num w:numId="70" w16cid:durableId="1927423090">
    <w:abstractNumId w:val="67"/>
  </w:num>
  <w:num w:numId="71" w16cid:durableId="1888443669">
    <w:abstractNumId w:val="1"/>
  </w:num>
  <w:num w:numId="72" w16cid:durableId="446777241">
    <w:abstractNumId w:val="58"/>
  </w:num>
  <w:num w:numId="73" w16cid:durableId="58792468">
    <w:abstractNumId w:val="40"/>
  </w:num>
  <w:num w:numId="74" w16cid:durableId="1750537993">
    <w:abstractNumId w:val="52"/>
  </w:num>
  <w:num w:numId="75" w16cid:durableId="459492279">
    <w:abstractNumId w:val="43"/>
  </w:num>
  <w:num w:numId="76" w16cid:durableId="1868979978">
    <w:abstractNumId w:val="88"/>
  </w:num>
  <w:num w:numId="77" w16cid:durableId="2005354312">
    <w:abstractNumId w:val="79"/>
  </w:num>
  <w:num w:numId="78" w16cid:durableId="612975331">
    <w:abstractNumId w:val="73"/>
  </w:num>
  <w:num w:numId="79" w16cid:durableId="1785230123">
    <w:abstractNumId w:val="68"/>
  </w:num>
  <w:num w:numId="80" w16cid:durableId="324936502">
    <w:abstractNumId w:val="57"/>
  </w:num>
  <w:num w:numId="81" w16cid:durableId="945113045">
    <w:abstractNumId w:val="23"/>
  </w:num>
  <w:num w:numId="82" w16cid:durableId="1495797812">
    <w:abstractNumId w:val="4"/>
  </w:num>
  <w:num w:numId="83" w16cid:durableId="276059011">
    <w:abstractNumId w:val="71"/>
  </w:num>
  <w:num w:numId="84" w16cid:durableId="839779581">
    <w:abstractNumId w:val="36"/>
  </w:num>
  <w:num w:numId="85" w16cid:durableId="1233199284">
    <w:abstractNumId w:val="60"/>
  </w:num>
  <w:num w:numId="86" w16cid:durableId="1368066506">
    <w:abstractNumId w:val="35"/>
  </w:num>
  <w:num w:numId="87" w16cid:durableId="414282917">
    <w:abstractNumId w:val="53"/>
  </w:num>
  <w:num w:numId="88" w16cid:durableId="1690137429">
    <w:abstractNumId w:val="11"/>
  </w:num>
  <w:num w:numId="89" w16cid:durableId="171574676">
    <w:abstractNumId w:val="49"/>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627B"/>
    <w:rsid w:val="000009CA"/>
    <w:rsid w:val="00000D32"/>
    <w:rsid w:val="00002CEB"/>
    <w:rsid w:val="00003FE9"/>
    <w:rsid w:val="00004FF9"/>
    <w:rsid w:val="00007BE2"/>
    <w:rsid w:val="00013AC6"/>
    <w:rsid w:val="00014162"/>
    <w:rsid w:val="00015BC4"/>
    <w:rsid w:val="00015E83"/>
    <w:rsid w:val="00016578"/>
    <w:rsid w:val="000176E3"/>
    <w:rsid w:val="00021B51"/>
    <w:rsid w:val="00024CF9"/>
    <w:rsid w:val="00027A1C"/>
    <w:rsid w:val="0003092F"/>
    <w:rsid w:val="00030934"/>
    <w:rsid w:val="000332AC"/>
    <w:rsid w:val="00035246"/>
    <w:rsid w:val="000363B1"/>
    <w:rsid w:val="00041367"/>
    <w:rsid w:val="00042916"/>
    <w:rsid w:val="00043D65"/>
    <w:rsid w:val="000527EA"/>
    <w:rsid w:val="000536DA"/>
    <w:rsid w:val="000549C4"/>
    <w:rsid w:val="00060D97"/>
    <w:rsid w:val="000678A3"/>
    <w:rsid w:val="00071C1C"/>
    <w:rsid w:val="000742B8"/>
    <w:rsid w:val="00074E91"/>
    <w:rsid w:val="000770BA"/>
    <w:rsid w:val="00077261"/>
    <w:rsid w:val="00084374"/>
    <w:rsid w:val="000850BA"/>
    <w:rsid w:val="00085414"/>
    <w:rsid w:val="000859F4"/>
    <w:rsid w:val="00087AE1"/>
    <w:rsid w:val="00087D01"/>
    <w:rsid w:val="00090C0C"/>
    <w:rsid w:val="00093094"/>
    <w:rsid w:val="000943FA"/>
    <w:rsid w:val="00095F09"/>
    <w:rsid w:val="0009678E"/>
    <w:rsid w:val="000968AF"/>
    <w:rsid w:val="0009703A"/>
    <w:rsid w:val="000978CE"/>
    <w:rsid w:val="000A4BBB"/>
    <w:rsid w:val="000B0435"/>
    <w:rsid w:val="000B076F"/>
    <w:rsid w:val="000B11FF"/>
    <w:rsid w:val="000B2089"/>
    <w:rsid w:val="000B3CC8"/>
    <w:rsid w:val="000B5ECD"/>
    <w:rsid w:val="000B6345"/>
    <w:rsid w:val="000C470E"/>
    <w:rsid w:val="000C4D69"/>
    <w:rsid w:val="000D0EF2"/>
    <w:rsid w:val="000D2BC4"/>
    <w:rsid w:val="000D7495"/>
    <w:rsid w:val="000D7949"/>
    <w:rsid w:val="000E260E"/>
    <w:rsid w:val="000E4E05"/>
    <w:rsid w:val="000E5A49"/>
    <w:rsid w:val="000E65B2"/>
    <w:rsid w:val="000E7206"/>
    <w:rsid w:val="000F0876"/>
    <w:rsid w:val="000F4286"/>
    <w:rsid w:val="001008BC"/>
    <w:rsid w:val="00105E6C"/>
    <w:rsid w:val="00107B9F"/>
    <w:rsid w:val="0011009B"/>
    <w:rsid w:val="00111B7E"/>
    <w:rsid w:val="00115BF4"/>
    <w:rsid w:val="00121247"/>
    <w:rsid w:val="001231E7"/>
    <w:rsid w:val="00125F5A"/>
    <w:rsid w:val="00126C82"/>
    <w:rsid w:val="00135982"/>
    <w:rsid w:val="0014229D"/>
    <w:rsid w:val="00142A0E"/>
    <w:rsid w:val="00152399"/>
    <w:rsid w:val="00156243"/>
    <w:rsid w:val="00157C7D"/>
    <w:rsid w:val="00161DD9"/>
    <w:rsid w:val="00166513"/>
    <w:rsid w:val="001743AF"/>
    <w:rsid w:val="00175819"/>
    <w:rsid w:val="00176A96"/>
    <w:rsid w:val="00176B93"/>
    <w:rsid w:val="0017718B"/>
    <w:rsid w:val="00182C84"/>
    <w:rsid w:val="00184D93"/>
    <w:rsid w:val="00185748"/>
    <w:rsid w:val="001866C6"/>
    <w:rsid w:val="00186F3F"/>
    <w:rsid w:val="00187325"/>
    <w:rsid w:val="001878FB"/>
    <w:rsid w:val="00190667"/>
    <w:rsid w:val="0019099F"/>
    <w:rsid w:val="00190ACD"/>
    <w:rsid w:val="001A0FE5"/>
    <w:rsid w:val="001A2279"/>
    <w:rsid w:val="001A321B"/>
    <w:rsid w:val="001A7CEB"/>
    <w:rsid w:val="001B348D"/>
    <w:rsid w:val="001B4485"/>
    <w:rsid w:val="001B6947"/>
    <w:rsid w:val="001B6F27"/>
    <w:rsid w:val="001B79F6"/>
    <w:rsid w:val="001D3033"/>
    <w:rsid w:val="001D3034"/>
    <w:rsid w:val="001D44F9"/>
    <w:rsid w:val="001D499D"/>
    <w:rsid w:val="001D5DA0"/>
    <w:rsid w:val="001D61BC"/>
    <w:rsid w:val="001D71BD"/>
    <w:rsid w:val="001D76AA"/>
    <w:rsid w:val="001D7B9F"/>
    <w:rsid w:val="001E1066"/>
    <w:rsid w:val="001E184D"/>
    <w:rsid w:val="001E48F7"/>
    <w:rsid w:val="001E5744"/>
    <w:rsid w:val="001E5869"/>
    <w:rsid w:val="001E64D3"/>
    <w:rsid w:val="001E74DE"/>
    <w:rsid w:val="00201BE8"/>
    <w:rsid w:val="00205E1A"/>
    <w:rsid w:val="00207D8D"/>
    <w:rsid w:val="002150BE"/>
    <w:rsid w:val="002247CB"/>
    <w:rsid w:val="00232FD6"/>
    <w:rsid w:val="00241B14"/>
    <w:rsid w:val="00241B26"/>
    <w:rsid w:val="002472F2"/>
    <w:rsid w:val="00250774"/>
    <w:rsid w:val="002538DC"/>
    <w:rsid w:val="00257159"/>
    <w:rsid w:val="002579ED"/>
    <w:rsid w:val="00260CC7"/>
    <w:rsid w:val="00266398"/>
    <w:rsid w:val="002666FC"/>
    <w:rsid w:val="00271C3E"/>
    <w:rsid w:val="0027332A"/>
    <w:rsid w:val="00275114"/>
    <w:rsid w:val="00275D48"/>
    <w:rsid w:val="0027669D"/>
    <w:rsid w:val="00282AB7"/>
    <w:rsid w:val="002840D3"/>
    <w:rsid w:val="0028627B"/>
    <w:rsid w:val="00286CE6"/>
    <w:rsid w:val="00286EC5"/>
    <w:rsid w:val="002922AA"/>
    <w:rsid w:val="00293F52"/>
    <w:rsid w:val="00295CB4"/>
    <w:rsid w:val="00296431"/>
    <w:rsid w:val="00296C90"/>
    <w:rsid w:val="002A11DE"/>
    <w:rsid w:val="002A1A0C"/>
    <w:rsid w:val="002A31DB"/>
    <w:rsid w:val="002A57F9"/>
    <w:rsid w:val="002B2243"/>
    <w:rsid w:val="002B6319"/>
    <w:rsid w:val="002B7F20"/>
    <w:rsid w:val="002C0564"/>
    <w:rsid w:val="002C0B01"/>
    <w:rsid w:val="002C21CD"/>
    <w:rsid w:val="002C2271"/>
    <w:rsid w:val="002C5D2C"/>
    <w:rsid w:val="002D2C4C"/>
    <w:rsid w:val="002D2FFE"/>
    <w:rsid w:val="002E053E"/>
    <w:rsid w:val="002E39C1"/>
    <w:rsid w:val="002E504C"/>
    <w:rsid w:val="002E7D59"/>
    <w:rsid w:val="002F7F58"/>
    <w:rsid w:val="003000AF"/>
    <w:rsid w:val="00307EE6"/>
    <w:rsid w:val="003112E7"/>
    <w:rsid w:val="0031478A"/>
    <w:rsid w:val="00315D28"/>
    <w:rsid w:val="00324AD3"/>
    <w:rsid w:val="00324F03"/>
    <w:rsid w:val="00336981"/>
    <w:rsid w:val="00336C35"/>
    <w:rsid w:val="00340AA1"/>
    <w:rsid w:val="00344C3A"/>
    <w:rsid w:val="00345B66"/>
    <w:rsid w:val="00350336"/>
    <w:rsid w:val="0035070E"/>
    <w:rsid w:val="00351D39"/>
    <w:rsid w:val="00352FD6"/>
    <w:rsid w:val="00353E5C"/>
    <w:rsid w:val="0035574B"/>
    <w:rsid w:val="00355AAC"/>
    <w:rsid w:val="00357A1E"/>
    <w:rsid w:val="00360FD7"/>
    <w:rsid w:val="003622C2"/>
    <w:rsid w:val="00362C2A"/>
    <w:rsid w:val="003703C2"/>
    <w:rsid w:val="00371FCB"/>
    <w:rsid w:val="00373482"/>
    <w:rsid w:val="00375034"/>
    <w:rsid w:val="0037578A"/>
    <w:rsid w:val="003759CB"/>
    <w:rsid w:val="0038329F"/>
    <w:rsid w:val="00383F8D"/>
    <w:rsid w:val="003840AF"/>
    <w:rsid w:val="00384E68"/>
    <w:rsid w:val="00385CF3"/>
    <w:rsid w:val="0038667F"/>
    <w:rsid w:val="00387481"/>
    <w:rsid w:val="003875C1"/>
    <w:rsid w:val="00394A22"/>
    <w:rsid w:val="00394CFD"/>
    <w:rsid w:val="00395203"/>
    <w:rsid w:val="00397745"/>
    <w:rsid w:val="003A390E"/>
    <w:rsid w:val="003A44EA"/>
    <w:rsid w:val="003A4D11"/>
    <w:rsid w:val="003B35AF"/>
    <w:rsid w:val="003B4AF1"/>
    <w:rsid w:val="003B4C9D"/>
    <w:rsid w:val="003B4EED"/>
    <w:rsid w:val="003B5206"/>
    <w:rsid w:val="003C3146"/>
    <w:rsid w:val="003C3D09"/>
    <w:rsid w:val="003C4A56"/>
    <w:rsid w:val="003C5546"/>
    <w:rsid w:val="003C74CC"/>
    <w:rsid w:val="003D13D6"/>
    <w:rsid w:val="003D3559"/>
    <w:rsid w:val="003D3D4C"/>
    <w:rsid w:val="003D61BD"/>
    <w:rsid w:val="003D6D64"/>
    <w:rsid w:val="003E0279"/>
    <w:rsid w:val="003E5383"/>
    <w:rsid w:val="003E68FB"/>
    <w:rsid w:val="003E6957"/>
    <w:rsid w:val="003F23E4"/>
    <w:rsid w:val="003F4873"/>
    <w:rsid w:val="003F55EC"/>
    <w:rsid w:val="003F6330"/>
    <w:rsid w:val="00401404"/>
    <w:rsid w:val="0040172A"/>
    <w:rsid w:val="0040360B"/>
    <w:rsid w:val="0040486E"/>
    <w:rsid w:val="004058AD"/>
    <w:rsid w:val="00406E48"/>
    <w:rsid w:val="00407C56"/>
    <w:rsid w:val="00407D6F"/>
    <w:rsid w:val="004106B5"/>
    <w:rsid w:val="00410E3C"/>
    <w:rsid w:val="00413FE3"/>
    <w:rsid w:val="004203DF"/>
    <w:rsid w:val="00422F36"/>
    <w:rsid w:val="004235C6"/>
    <w:rsid w:val="004236FE"/>
    <w:rsid w:val="004253F0"/>
    <w:rsid w:val="004274DA"/>
    <w:rsid w:val="0043017A"/>
    <w:rsid w:val="004306CF"/>
    <w:rsid w:val="004321CF"/>
    <w:rsid w:val="0043503A"/>
    <w:rsid w:val="00435FC2"/>
    <w:rsid w:val="00436C5A"/>
    <w:rsid w:val="00440035"/>
    <w:rsid w:val="00441A93"/>
    <w:rsid w:val="00443EC7"/>
    <w:rsid w:val="00446BCC"/>
    <w:rsid w:val="00451593"/>
    <w:rsid w:val="00452C35"/>
    <w:rsid w:val="00452D44"/>
    <w:rsid w:val="00452D56"/>
    <w:rsid w:val="00452E19"/>
    <w:rsid w:val="0045452E"/>
    <w:rsid w:val="0046010D"/>
    <w:rsid w:val="004624F6"/>
    <w:rsid w:val="00465B3A"/>
    <w:rsid w:val="00466B8C"/>
    <w:rsid w:val="004679D4"/>
    <w:rsid w:val="00473069"/>
    <w:rsid w:val="00476FFF"/>
    <w:rsid w:val="0048384F"/>
    <w:rsid w:val="00485F98"/>
    <w:rsid w:val="004864B4"/>
    <w:rsid w:val="0049031C"/>
    <w:rsid w:val="00491543"/>
    <w:rsid w:val="00495D14"/>
    <w:rsid w:val="00496E63"/>
    <w:rsid w:val="004A0A9B"/>
    <w:rsid w:val="004A15BF"/>
    <w:rsid w:val="004A3749"/>
    <w:rsid w:val="004B21CA"/>
    <w:rsid w:val="004B248F"/>
    <w:rsid w:val="004B32CE"/>
    <w:rsid w:val="004B7F38"/>
    <w:rsid w:val="004C1088"/>
    <w:rsid w:val="004C108A"/>
    <w:rsid w:val="004C1175"/>
    <w:rsid w:val="004C64F7"/>
    <w:rsid w:val="004C7F45"/>
    <w:rsid w:val="004C7FC9"/>
    <w:rsid w:val="004D2EF8"/>
    <w:rsid w:val="004D4583"/>
    <w:rsid w:val="004E01E3"/>
    <w:rsid w:val="004E0AD4"/>
    <w:rsid w:val="004E689A"/>
    <w:rsid w:val="004F6A2B"/>
    <w:rsid w:val="004F7314"/>
    <w:rsid w:val="004F7C72"/>
    <w:rsid w:val="00501F54"/>
    <w:rsid w:val="00504B1D"/>
    <w:rsid w:val="00505FC4"/>
    <w:rsid w:val="00511C00"/>
    <w:rsid w:val="00513665"/>
    <w:rsid w:val="00516CD8"/>
    <w:rsid w:val="00521100"/>
    <w:rsid w:val="00522F29"/>
    <w:rsid w:val="005247AF"/>
    <w:rsid w:val="00524A5B"/>
    <w:rsid w:val="00534218"/>
    <w:rsid w:val="00544A63"/>
    <w:rsid w:val="00551C76"/>
    <w:rsid w:val="00561D4D"/>
    <w:rsid w:val="00562FDC"/>
    <w:rsid w:val="00564F40"/>
    <w:rsid w:val="00566472"/>
    <w:rsid w:val="005704F0"/>
    <w:rsid w:val="005718A4"/>
    <w:rsid w:val="005725CD"/>
    <w:rsid w:val="00572F47"/>
    <w:rsid w:val="00572F50"/>
    <w:rsid w:val="00577DF4"/>
    <w:rsid w:val="00584097"/>
    <w:rsid w:val="00585924"/>
    <w:rsid w:val="00587B73"/>
    <w:rsid w:val="005939E4"/>
    <w:rsid w:val="00595448"/>
    <w:rsid w:val="00595FF4"/>
    <w:rsid w:val="005A23CC"/>
    <w:rsid w:val="005A47B9"/>
    <w:rsid w:val="005A7860"/>
    <w:rsid w:val="005B0806"/>
    <w:rsid w:val="005B24A4"/>
    <w:rsid w:val="005B2BFF"/>
    <w:rsid w:val="005C2338"/>
    <w:rsid w:val="005D5843"/>
    <w:rsid w:val="005D5B8B"/>
    <w:rsid w:val="005E1AAE"/>
    <w:rsid w:val="005E1FE8"/>
    <w:rsid w:val="005E6511"/>
    <w:rsid w:val="005E6FFE"/>
    <w:rsid w:val="005F04A4"/>
    <w:rsid w:val="005F1401"/>
    <w:rsid w:val="005F7C75"/>
    <w:rsid w:val="00600414"/>
    <w:rsid w:val="00602F92"/>
    <w:rsid w:val="00603217"/>
    <w:rsid w:val="00603AF6"/>
    <w:rsid w:val="00603F7A"/>
    <w:rsid w:val="00606144"/>
    <w:rsid w:val="00611DC4"/>
    <w:rsid w:val="00612FC3"/>
    <w:rsid w:val="00613FFD"/>
    <w:rsid w:val="00632616"/>
    <w:rsid w:val="00635455"/>
    <w:rsid w:val="0063681E"/>
    <w:rsid w:val="00641490"/>
    <w:rsid w:val="0064182E"/>
    <w:rsid w:val="00641D34"/>
    <w:rsid w:val="00642DBD"/>
    <w:rsid w:val="006440CC"/>
    <w:rsid w:val="0064462E"/>
    <w:rsid w:val="00652E91"/>
    <w:rsid w:val="00654F4F"/>
    <w:rsid w:val="00657E22"/>
    <w:rsid w:val="0066203E"/>
    <w:rsid w:val="006636AE"/>
    <w:rsid w:val="006653E8"/>
    <w:rsid w:val="006665DD"/>
    <w:rsid w:val="00670D50"/>
    <w:rsid w:val="0067253F"/>
    <w:rsid w:val="006734B8"/>
    <w:rsid w:val="00675697"/>
    <w:rsid w:val="006804D2"/>
    <w:rsid w:val="00681FF4"/>
    <w:rsid w:val="00682DE3"/>
    <w:rsid w:val="00685782"/>
    <w:rsid w:val="00687562"/>
    <w:rsid w:val="006910B2"/>
    <w:rsid w:val="006957EC"/>
    <w:rsid w:val="006A35CD"/>
    <w:rsid w:val="006B3F81"/>
    <w:rsid w:val="006B4BAE"/>
    <w:rsid w:val="006C01C9"/>
    <w:rsid w:val="006C1C7C"/>
    <w:rsid w:val="006C4523"/>
    <w:rsid w:val="006D5000"/>
    <w:rsid w:val="006E526A"/>
    <w:rsid w:val="006E5E44"/>
    <w:rsid w:val="006E76F4"/>
    <w:rsid w:val="006F369A"/>
    <w:rsid w:val="006F4086"/>
    <w:rsid w:val="00702DF8"/>
    <w:rsid w:val="007040C6"/>
    <w:rsid w:val="00705A81"/>
    <w:rsid w:val="00710039"/>
    <w:rsid w:val="007112FC"/>
    <w:rsid w:val="00711AD7"/>
    <w:rsid w:val="00715621"/>
    <w:rsid w:val="00721056"/>
    <w:rsid w:val="007266B4"/>
    <w:rsid w:val="007332FE"/>
    <w:rsid w:val="00734284"/>
    <w:rsid w:val="00736C77"/>
    <w:rsid w:val="00737775"/>
    <w:rsid w:val="00737BEB"/>
    <w:rsid w:val="0074165A"/>
    <w:rsid w:val="00742DB4"/>
    <w:rsid w:val="00745057"/>
    <w:rsid w:val="00745C40"/>
    <w:rsid w:val="00747F21"/>
    <w:rsid w:val="00747F73"/>
    <w:rsid w:val="00750E19"/>
    <w:rsid w:val="00751DB1"/>
    <w:rsid w:val="0075251A"/>
    <w:rsid w:val="0075448F"/>
    <w:rsid w:val="00754FFF"/>
    <w:rsid w:val="00755BC5"/>
    <w:rsid w:val="00760976"/>
    <w:rsid w:val="0076388E"/>
    <w:rsid w:val="00763F84"/>
    <w:rsid w:val="00765264"/>
    <w:rsid w:val="00766CC9"/>
    <w:rsid w:val="0078100D"/>
    <w:rsid w:val="00786E63"/>
    <w:rsid w:val="007872B7"/>
    <w:rsid w:val="00790712"/>
    <w:rsid w:val="007910AA"/>
    <w:rsid w:val="007923BC"/>
    <w:rsid w:val="007A0506"/>
    <w:rsid w:val="007A51C0"/>
    <w:rsid w:val="007B032F"/>
    <w:rsid w:val="007B0BF6"/>
    <w:rsid w:val="007B0E76"/>
    <w:rsid w:val="007B1E99"/>
    <w:rsid w:val="007B5042"/>
    <w:rsid w:val="007B59C7"/>
    <w:rsid w:val="007B5EAE"/>
    <w:rsid w:val="007B6CFB"/>
    <w:rsid w:val="007B7863"/>
    <w:rsid w:val="007C6040"/>
    <w:rsid w:val="007C6D37"/>
    <w:rsid w:val="007D7D0F"/>
    <w:rsid w:val="007E1E04"/>
    <w:rsid w:val="007E2617"/>
    <w:rsid w:val="007E62FD"/>
    <w:rsid w:val="007E662E"/>
    <w:rsid w:val="007E6FC8"/>
    <w:rsid w:val="007F333D"/>
    <w:rsid w:val="007F3B24"/>
    <w:rsid w:val="007F74DE"/>
    <w:rsid w:val="007F7B85"/>
    <w:rsid w:val="0080219A"/>
    <w:rsid w:val="0080258E"/>
    <w:rsid w:val="00803F4F"/>
    <w:rsid w:val="00807E06"/>
    <w:rsid w:val="00812042"/>
    <w:rsid w:val="00815015"/>
    <w:rsid w:val="00825B56"/>
    <w:rsid w:val="00826E26"/>
    <w:rsid w:val="00830395"/>
    <w:rsid w:val="00830A13"/>
    <w:rsid w:val="00832425"/>
    <w:rsid w:val="00837F53"/>
    <w:rsid w:val="008443BC"/>
    <w:rsid w:val="0085011D"/>
    <w:rsid w:val="0085090C"/>
    <w:rsid w:val="0085459D"/>
    <w:rsid w:val="00854757"/>
    <w:rsid w:val="00855DD2"/>
    <w:rsid w:val="008563E5"/>
    <w:rsid w:val="0085675B"/>
    <w:rsid w:val="00860C38"/>
    <w:rsid w:val="00860EE5"/>
    <w:rsid w:val="008650A9"/>
    <w:rsid w:val="00865D33"/>
    <w:rsid w:val="0086649A"/>
    <w:rsid w:val="00874DDE"/>
    <w:rsid w:val="008764C3"/>
    <w:rsid w:val="008808FF"/>
    <w:rsid w:val="0088118B"/>
    <w:rsid w:val="00883927"/>
    <w:rsid w:val="00887EAA"/>
    <w:rsid w:val="0089214A"/>
    <w:rsid w:val="00895B33"/>
    <w:rsid w:val="008A04C1"/>
    <w:rsid w:val="008A05E7"/>
    <w:rsid w:val="008A1C84"/>
    <w:rsid w:val="008A428E"/>
    <w:rsid w:val="008A5164"/>
    <w:rsid w:val="008A5E90"/>
    <w:rsid w:val="008A7FCF"/>
    <w:rsid w:val="008B0004"/>
    <w:rsid w:val="008B01BB"/>
    <w:rsid w:val="008B14EA"/>
    <w:rsid w:val="008B1C7D"/>
    <w:rsid w:val="008B2145"/>
    <w:rsid w:val="008C20DB"/>
    <w:rsid w:val="008C244C"/>
    <w:rsid w:val="008C30BF"/>
    <w:rsid w:val="008C4FF9"/>
    <w:rsid w:val="008C6F70"/>
    <w:rsid w:val="008C7055"/>
    <w:rsid w:val="008D138D"/>
    <w:rsid w:val="008D1588"/>
    <w:rsid w:val="008D1910"/>
    <w:rsid w:val="008D2F32"/>
    <w:rsid w:val="008D64C2"/>
    <w:rsid w:val="008D67F9"/>
    <w:rsid w:val="008E0C59"/>
    <w:rsid w:val="008E204C"/>
    <w:rsid w:val="008E2EC9"/>
    <w:rsid w:val="008E40C5"/>
    <w:rsid w:val="008F200D"/>
    <w:rsid w:val="008F5F25"/>
    <w:rsid w:val="00901755"/>
    <w:rsid w:val="00907441"/>
    <w:rsid w:val="0091479A"/>
    <w:rsid w:val="009179A0"/>
    <w:rsid w:val="00920302"/>
    <w:rsid w:val="00921F88"/>
    <w:rsid w:val="0092302F"/>
    <w:rsid w:val="00924B00"/>
    <w:rsid w:val="00925459"/>
    <w:rsid w:val="00927C33"/>
    <w:rsid w:val="00932DC5"/>
    <w:rsid w:val="00941C77"/>
    <w:rsid w:val="0094497E"/>
    <w:rsid w:val="009460F1"/>
    <w:rsid w:val="00947EBB"/>
    <w:rsid w:val="0095413A"/>
    <w:rsid w:val="00956BE1"/>
    <w:rsid w:val="00957EC1"/>
    <w:rsid w:val="00960C55"/>
    <w:rsid w:val="0096466E"/>
    <w:rsid w:val="00965AE5"/>
    <w:rsid w:val="009759EE"/>
    <w:rsid w:val="009866ED"/>
    <w:rsid w:val="00986F6D"/>
    <w:rsid w:val="0098746D"/>
    <w:rsid w:val="009935BA"/>
    <w:rsid w:val="0099543D"/>
    <w:rsid w:val="00996075"/>
    <w:rsid w:val="00996FA9"/>
    <w:rsid w:val="009973BF"/>
    <w:rsid w:val="009979AF"/>
    <w:rsid w:val="009A2628"/>
    <w:rsid w:val="009A4D5F"/>
    <w:rsid w:val="009A5348"/>
    <w:rsid w:val="009A6351"/>
    <w:rsid w:val="009A7193"/>
    <w:rsid w:val="009A7C9F"/>
    <w:rsid w:val="009B06A5"/>
    <w:rsid w:val="009B1431"/>
    <w:rsid w:val="009B1A4A"/>
    <w:rsid w:val="009B1E0C"/>
    <w:rsid w:val="009B3229"/>
    <w:rsid w:val="009B549C"/>
    <w:rsid w:val="009C12D4"/>
    <w:rsid w:val="009C336C"/>
    <w:rsid w:val="009C4DE9"/>
    <w:rsid w:val="009C71D1"/>
    <w:rsid w:val="009D0D7B"/>
    <w:rsid w:val="009D33E9"/>
    <w:rsid w:val="009D441F"/>
    <w:rsid w:val="009E0C1E"/>
    <w:rsid w:val="009E33A4"/>
    <w:rsid w:val="009E6BE7"/>
    <w:rsid w:val="009E79EE"/>
    <w:rsid w:val="009F2CD0"/>
    <w:rsid w:val="009F42B0"/>
    <w:rsid w:val="009F68E5"/>
    <w:rsid w:val="00A02A6E"/>
    <w:rsid w:val="00A06268"/>
    <w:rsid w:val="00A0707D"/>
    <w:rsid w:val="00A15979"/>
    <w:rsid w:val="00A162C3"/>
    <w:rsid w:val="00A20613"/>
    <w:rsid w:val="00A21D0A"/>
    <w:rsid w:val="00A25CD3"/>
    <w:rsid w:val="00A27DB5"/>
    <w:rsid w:val="00A32B54"/>
    <w:rsid w:val="00A33C42"/>
    <w:rsid w:val="00A34301"/>
    <w:rsid w:val="00A36E12"/>
    <w:rsid w:val="00A37F37"/>
    <w:rsid w:val="00A40D08"/>
    <w:rsid w:val="00A435A8"/>
    <w:rsid w:val="00A4445D"/>
    <w:rsid w:val="00A4611C"/>
    <w:rsid w:val="00A47FDB"/>
    <w:rsid w:val="00A51C94"/>
    <w:rsid w:val="00A53B29"/>
    <w:rsid w:val="00A55A3C"/>
    <w:rsid w:val="00A616AA"/>
    <w:rsid w:val="00A634CA"/>
    <w:rsid w:val="00A63E1C"/>
    <w:rsid w:val="00A6670C"/>
    <w:rsid w:val="00A7462A"/>
    <w:rsid w:val="00A7493A"/>
    <w:rsid w:val="00A74F12"/>
    <w:rsid w:val="00A821CB"/>
    <w:rsid w:val="00A8251B"/>
    <w:rsid w:val="00A83BF3"/>
    <w:rsid w:val="00A84321"/>
    <w:rsid w:val="00A870CE"/>
    <w:rsid w:val="00A8721C"/>
    <w:rsid w:val="00A94CBD"/>
    <w:rsid w:val="00A950C9"/>
    <w:rsid w:val="00A95CA4"/>
    <w:rsid w:val="00AA153F"/>
    <w:rsid w:val="00AA7C57"/>
    <w:rsid w:val="00AB0647"/>
    <w:rsid w:val="00AB2A80"/>
    <w:rsid w:val="00AB4CF6"/>
    <w:rsid w:val="00AB71A5"/>
    <w:rsid w:val="00AC0549"/>
    <w:rsid w:val="00AC16BD"/>
    <w:rsid w:val="00AC4030"/>
    <w:rsid w:val="00AC5507"/>
    <w:rsid w:val="00AC7BE3"/>
    <w:rsid w:val="00AD071F"/>
    <w:rsid w:val="00AD093A"/>
    <w:rsid w:val="00AD54B6"/>
    <w:rsid w:val="00AD6262"/>
    <w:rsid w:val="00AD62D4"/>
    <w:rsid w:val="00AD7158"/>
    <w:rsid w:val="00AD7DF2"/>
    <w:rsid w:val="00AE2057"/>
    <w:rsid w:val="00AF36B6"/>
    <w:rsid w:val="00AF4750"/>
    <w:rsid w:val="00AF4AFD"/>
    <w:rsid w:val="00AF5747"/>
    <w:rsid w:val="00B036F6"/>
    <w:rsid w:val="00B06BE5"/>
    <w:rsid w:val="00B12A30"/>
    <w:rsid w:val="00B13AF8"/>
    <w:rsid w:val="00B16B61"/>
    <w:rsid w:val="00B201B2"/>
    <w:rsid w:val="00B22673"/>
    <w:rsid w:val="00B26C2A"/>
    <w:rsid w:val="00B27AC7"/>
    <w:rsid w:val="00B32569"/>
    <w:rsid w:val="00B354C6"/>
    <w:rsid w:val="00B35996"/>
    <w:rsid w:val="00B370CD"/>
    <w:rsid w:val="00B406CA"/>
    <w:rsid w:val="00B449E3"/>
    <w:rsid w:val="00B45184"/>
    <w:rsid w:val="00B50525"/>
    <w:rsid w:val="00B5145B"/>
    <w:rsid w:val="00B52D33"/>
    <w:rsid w:val="00B54588"/>
    <w:rsid w:val="00B54A77"/>
    <w:rsid w:val="00B54EE6"/>
    <w:rsid w:val="00B628E2"/>
    <w:rsid w:val="00B62993"/>
    <w:rsid w:val="00B63B0E"/>
    <w:rsid w:val="00B6498B"/>
    <w:rsid w:val="00B66A87"/>
    <w:rsid w:val="00B671EA"/>
    <w:rsid w:val="00B70784"/>
    <w:rsid w:val="00B7278C"/>
    <w:rsid w:val="00B80528"/>
    <w:rsid w:val="00B8249B"/>
    <w:rsid w:val="00B84038"/>
    <w:rsid w:val="00B8482D"/>
    <w:rsid w:val="00B868E6"/>
    <w:rsid w:val="00B94BA3"/>
    <w:rsid w:val="00B94F1A"/>
    <w:rsid w:val="00B951A7"/>
    <w:rsid w:val="00B952E4"/>
    <w:rsid w:val="00B96965"/>
    <w:rsid w:val="00BA4DE6"/>
    <w:rsid w:val="00BA5D21"/>
    <w:rsid w:val="00BB19C5"/>
    <w:rsid w:val="00BB1C1B"/>
    <w:rsid w:val="00BB4F72"/>
    <w:rsid w:val="00BC46E2"/>
    <w:rsid w:val="00BC66E5"/>
    <w:rsid w:val="00BC7761"/>
    <w:rsid w:val="00BD3259"/>
    <w:rsid w:val="00BD39D6"/>
    <w:rsid w:val="00BD3F42"/>
    <w:rsid w:val="00BD6145"/>
    <w:rsid w:val="00BD7A55"/>
    <w:rsid w:val="00BD7E9D"/>
    <w:rsid w:val="00BE6E0A"/>
    <w:rsid w:val="00BF07CB"/>
    <w:rsid w:val="00BF6D84"/>
    <w:rsid w:val="00C05BDE"/>
    <w:rsid w:val="00C066C9"/>
    <w:rsid w:val="00C07C8A"/>
    <w:rsid w:val="00C12A41"/>
    <w:rsid w:val="00C14559"/>
    <w:rsid w:val="00C15AF4"/>
    <w:rsid w:val="00C22F09"/>
    <w:rsid w:val="00C22F12"/>
    <w:rsid w:val="00C25B29"/>
    <w:rsid w:val="00C2670C"/>
    <w:rsid w:val="00C31780"/>
    <w:rsid w:val="00C32E81"/>
    <w:rsid w:val="00C3311E"/>
    <w:rsid w:val="00C41081"/>
    <w:rsid w:val="00C41B43"/>
    <w:rsid w:val="00C44532"/>
    <w:rsid w:val="00C45615"/>
    <w:rsid w:val="00C46A01"/>
    <w:rsid w:val="00C51640"/>
    <w:rsid w:val="00C51BE9"/>
    <w:rsid w:val="00C63ACA"/>
    <w:rsid w:val="00C64FB4"/>
    <w:rsid w:val="00C657E8"/>
    <w:rsid w:val="00C66160"/>
    <w:rsid w:val="00C714B5"/>
    <w:rsid w:val="00C7421D"/>
    <w:rsid w:val="00C747D9"/>
    <w:rsid w:val="00C767DF"/>
    <w:rsid w:val="00C81A7E"/>
    <w:rsid w:val="00C92B23"/>
    <w:rsid w:val="00C93A57"/>
    <w:rsid w:val="00CA55D0"/>
    <w:rsid w:val="00CA662A"/>
    <w:rsid w:val="00CA6C0C"/>
    <w:rsid w:val="00CB13A4"/>
    <w:rsid w:val="00CB7032"/>
    <w:rsid w:val="00CB7172"/>
    <w:rsid w:val="00CC268B"/>
    <w:rsid w:val="00CC57D1"/>
    <w:rsid w:val="00CC6A1E"/>
    <w:rsid w:val="00CC74A4"/>
    <w:rsid w:val="00CD0D57"/>
    <w:rsid w:val="00CD2505"/>
    <w:rsid w:val="00CD3C35"/>
    <w:rsid w:val="00CE01DF"/>
    <w:rsid w:val="00CE26B9"/>
    <w:rsid w:val="00CE73C5"/>
    <w:rsid w:val="00CF0E6C"/>
    <w:rsid w:val="00CF491A"/>
    <w:rsid w:val="00CF5725"/>
    <w:rsid w:val="00CF62E5"/>
    <w:rsid w:val="00CF7D77"/>
    <w:rsid w:val="00D027D9"/>
    <w:rsid w:val="00D04323"/>
    <w:rsid w:val="00D11DDD"/>
    <w:rsid w:val="00D14864"/>
    <w:rsid w:val="00D16268"/>
    <w:rsid w:val="00D1792E"/>
    <w:rsid w:val="00D25998"/>
    <w:rsid w:val="00D26CE9"/>
    <w:rsid w:val="00D27EC1"/>
    <w:rsid w:val="00D32674"/>
    <w:rsid w:val="00D35636"/>
    <w:rsid w:val="00D37615"/>
    <w:rsid w:val="00D41256"/>
    <w:rsid w:val="00D45300"/>
    <w:rsid w:val="00D47049"/>
    <w:rsid w:val="00D47875"/>
    <w:rsid w:val="00D63480"/>
    <w:rsid w:val="00D63A58"/>
    <w:rsid w:val="00D64849"/>
    <w:rsid w:val="00D65155"/>
    <w:rsid w:val="00D80627"/>
    <w:rsid w:val="00D832BF"/>
    <w:rsid w:val="00D866D2"/>
    <w:rsid w:val="00D928AB"/>
    <w:rsid w:val="00D97DA7"/>
    <w:rsid w:val="00D97E69"/>
    <w:rsid w:val="00DA0322"/>
    <w:rsid w:val="00DA2ED2"/>
    <w:rsid w:val="00DA3756"/>
    <w:rsid w:val="00DA7233"/>
    <w:rsid w:val="00DA7AEF"/>
    <w:rsid w:val="00DB2D5C"/>
    <w:rsid w:val="00DB33AD"/>
    <w:rsid w:val="00DB574E"/>
    <w:rsid w:val="00DB7313"/>
    <w:rsid w:val="00DC25E4"/>
    <w:rsid w:val="00DC3DFD"/>
    <w:rsid w:val="00DC471B"/>
    <w:rsid w:val="00DC63EF"/>
    <w:rsid w:val="00DC7AFF"/>
    <w:rsid w:val="00DD024B"/>
    <w:rsid w:val="00DD25DF"/>
    <w:rsid w:val="00DE020C"/>
    <w:rsid w:val="00DE595F"/>
    <w:rsid w:val="00DE60A6"/>
    <w:rsid w:val="00DE6A24"/>
    <w:rsid w:val="00DE6DF9"/>
    <w:rsid w:val="00DE7D35"/>
    <w:rsid w:val="00DF1D04"/>
    <w:rsid w:val="00DF456E"/>
    <w:rsid w:val="00DF48E2"/>
    <w:rsid w:val="00DF68F2"/>
    <w:rsid w:val="00DF68FE"/>
    <w:rsid w:val="00E0174F"/>
    <w:rsid w:val="00E03668"/>
    <w:rsid w:val="00E0421A"/>
    <w:rsid w:val="00E05969"/>
    <w:rsid w:val="00E06114"/>
    <w:rsid w:val="00E20086"/>
    <w:rsid w:val="00E24D96"/>
    <w:rsid w:val="00E25403"/>
    <w:rsid w:val="00E261CB"/>
    <w:rsid w:val="00E2788C"/>
    <w:rsid w:val="00E4050F"/>
    <w:rsid w:val="00E43125"/>
    <w:rsid w:val="00E47A5B"/>
    <w:rsid w:val="00E50030"/>
    <w:rsid w:val="00E50CF4"/>
    <w:rsid w:val="00E51683"/>
    <w:rsid w:val="00E53859"/>
    <w:rsid w:val="00E54F95"/>
    <w:rsid w:val="00E57367"/>
    <w:rsid w:val="00E609A1"/>
    <w:rsid w:val="00E6199B"/>
    <w:rsid w:val="00E65109"/>
    <w:rsid w:val="00E712C7"/>
    <w:rsid w:val="00E72151"/>
    <w:rsid w:val="00E7400A"/>
    <w:rsid w:val="00E74046"/>
    <w:rsid w:val="00E758F1"/>
    <w:rsid w:val="00E75BBD"/>
    <w:rsid w:val="00E82AA1"/>
    <w:rsid w:val="00E8495E"/>
    <w:rsid w:val="00E87334"/>
    <w:rsid w:val="00EA11F2"/>
    <w:rsid w:val="00EA1725"/>
    <w:rsid w:val="00EA55C3"/>
    <w:rsid w:val="00EA5AC2"/>
    <w:rsid w:val="00EB0100"/>
    <w:rsid w:val="00EB06F4"/>
    <w:rsid w:val="00EB3C25"/>
    <w:rsid w:val="00EB3EB5"/>
    <w:rsid w:val="00EB407F"/>
    <w:rsid w:val="00EB47FB"/>
    <w:rsid w:val="00EB5D49"/>
    <w:rsid w:val="00EB7848"/>
    <w:rsid w:val="00EC2225"/>
    <w:rsid w:val="00EC3924"/>
    <w:rsid w:val="00EC3B69"/>
    <w:rsid w:val="00EC790E"/>
    <w:rsid w:val="00ED02E9"/>
    <w:rsid w:val="00EE00DE"/>
    <w:rsid w:val="00EE66FF"/>
    <w:rsid w:val="00EF001F"/>
    <w:rsid w:val="00EF3C80"/>
    <w:rsid w:val="00F05EA3"/>
    <w:rsid w:val="00F06B47"/>
    <w:rsid w:val="00F06E66"/>
    <w:rsid w:val="00F12D90"/>
    <w:rsid w:val="00F15282"/>
    <w:rsid w:val="00F2296A"/>
    <w:rsid w:val="00F258A1"/>
    <w:rsid w:val="00F3239A"/>
    <w:rsid w:val="00F323B5"/>
    <w:rsid w:val="00F3592E"/>
    <w:rsid w:val="00F40312"/>
    <w:rsid w:val="00F413B0"/>
    <w:rsid w:val="00F43EAE"/>
    <w:rsid w:val="00F443DC"/>
    <w:rsid w:val="00F44C0E"/>
    <w:rsid w:val="00F45F48"/>
    <w:rsid w:val="00F50F12"/>
    <w:rsid w:val="00F52A59"/>
    <w:rsid w:val="00F550CD"/>
    <w:rsid w:val="00F57257"/>
    <w:rsid w:val="00F57775"/>
    <w:rsid w:val="00F57B9E"/>
    <w:rsid w:val="00F63AA1"/>
    <w:rsid w:val="00F711F8"/>
    <w:rsid w:val="00F7294E"/>
    <w:rsid w:val="00F73060"/>
    <w:rsid w:val="00F82400"/>
    <w:rsid w:val="00F920D5"/>
    <w:rsid w:val="00F9252A"/>
    <w:rsid w:val="00F930CC"/>
    <w:rsid w:val="00F951B7"/>
    <w:rsid w:val="00F9612F"/>
    <w:rsid w:val="00F97CA4"/>
    <w:rsid w:val="00F97CDB"/>
    <w:rsid w:val="00FA2D9A"/>
    <w:rsid w:val="00FA2FFE"/>
    <w:rsid w:val="00FB090E"/>
    <w:rsid w:val="00FB67E8"/>
    <w:rsid w:val="00FB74EA"/>
    <w:rsid w:val="00FC04E9"/>
    <w:rsid w:val="00FC3810"/>
    <w:rsid w:val="00FC4BED"/>
    <w:rsid w:val="00FC4E77"/>
    <w:rsid w:val="00FC66EE"/>
    <w:rsid w:val="00FC6B42"/>
    <w:rsid w:val="00FD28DC"/>
    <w:rsid w:val="00FD4E4B"/>
    <w:rsid w:val="00FE533A"/>
    <w:rsid w:val="00FE61E2"/>
    <w:rsid w:val="00FE7239"/>
    <w:rsid w:val="00FF050F"/>
    <w:rsid w:val="00FF5AA8"/>
    <w:rsid w:val="00FF75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2184C9"/>
  <w15:docId w15:val="{5E94C46B-05A9-47AC-AF11-992DA7269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2F2"/>
    <w:pPr>
      <w:spacing w:line="360" w:lineRule="auto"/>
      <w:jc w:val="both"/>
    </w:pPr>
    <w:rPr>
      <w:rFonts w:ascii="Arial" w:hAnsi="Arial"/>
      <w:sz w:val="20"/>
    </w:rPr>
  </w:style>
  <w:style w:type="paragraph" w:styleId="Ttulo1">
    <w:name w:val="heading 1"/>
    <w:basedOn w:val="Normal"/>
    <w:next w:val="Normal"/>
    <w:link w:val="Ttulo1Car"/>
    <w:uiPriority w:val="9"/>
    <w:qFormat/>
    <w:rsid w:val="00AC5507"/>
    <w:pPr>
      <w:keepNext/>
      <w:keepLines/>
      <w:spacing w:after="240"/>
      <w:outlineLvl w:val="0"/>
    </w:pPr>
    <w:rPr>
      <w:rFonts w:eastAsiaTheme="majorEastAsia" w:cstheme="majorBidi"/>
      <w:b/>
      <w:bCs/>
      <w:smallCaps/>
      <w:color w:val="595959" w:themeColor="text1" w:themeTint="A6"/>
      <w:sz w:val="24"/>
      <w:szCs w:val="28"/>
    </w:rPr>
  </w:style>
  <w:style w:type="paragraph" w:styleId="Ttulo2">
    <w:name w:val="heading 2"/>
    <w:basedOn w:val="Normal"/>
    <w:next w:val="Normal"/>
    <w:link w:val="Ttulo2Car"/>
    <w:uiPriority w:val="9"/>
    <w:unhideWhenUsed/>
    <w:qFormat/>
    <w:rsid w:val="00AC5507"/>
    <w:pPr>
      <w:keepNext/>
      <w:keepLines/>
      <w:spacing w:after="240"/>
      <w:outlineLvl w:val="1"/>
    </w:pPr>
    <w:rPr>
      <w:rFonts w:eastAsiaTheme="majorEastAsia" w:cstheme="majorBidi"/>
      <w:b/>
      <w:bCs/>
      <w:smallCaps/>
      <w:color w:val="595959" w:themeColor="text1" w:themeTint="A6"/>
      <w:sz w:val="22"/>
      <w:szCs w:val="26"/>
    </w:rPr>
  </w:style>
  <w:style w:type="paragraph" w:styleId="Ttulo3">
    <w:name w:val="heading 3"/>
    <w:basedOn w:val="Normal"/>
    <w:next w:val="Normal"/>
    <w:link w:val="Ttulo3Car"/>
    <w:uiPriority w:val="9"/>
    <w:unhideWhenUsed/>
    <w:qFormat/>
    <w:rsid w:val="00AC5507"/>
    <w:pPr>
      <w:keepNext/>
      <w:keepLines/>
      <w:spacing w:after="240"/>
      <w:outlineLvl w:val="2"/>
    </w:pPr>
    <w:rPr>
      <w:rFonts w:eastAsiaTheme="majorEastAsia" w:cstheme="majorBidi"/>
      <w:b/>
      <w:bCs/>
      <w:color w:val="595959" w:themeColor="text1" w:themeTint="A6"/>
    </w:rPr>
  </w:style>
  <w:style w:type="paragraph" w:styleId="Ttulo4">
    <w:name w:val="heading 4"/>
    <w:basedOn w:val="Normal"/>
    <w:next w:val="Normal"/>
    <w:link w:val="Ttulo4Car"/>
    <w:uiPriority w:val="9"/>
    <w:unhideWhenUsed/>
    <w:qFormat/>
    <w:rsid w:val="00AC5507"/>
    <w:pPr>
      <w:keepNext/>
      <w:keepLines/>
      <w:spacing w:after="240"/>
      <w:outlineLvl w:val="3"/>
    </w:pPr>
    <w:rPr>
      <w:rFonts w:eastAsiaTheme="majorEastAsia" w:cstheme="majorBidi"/>
      <w:b/>
      <w:bCs/>
      <w:iCs/>
      <w:smallCaps/>
      <w:color w:val="595959" w:themeColor="text1" w:themeTint="A6"/>
    </w:rPr>
  </w:style>
  <w:style w:type="paragraph" w:styleId="Ttulo5">
    <w:name w:val="heading 5"/>
    <w:basedOn w:val="Normal"/>
    <w:next w:val="Normal"/>
    <w:link w:val="Ttulo5Car"/>
    <w:uiPriority w:val="9"/>
    <w:unhideWhenUsed/>
    <w:rsid w:val="00AC5507"/>
    <w:pPr>
      <w:keepNext/>
      <w:keepLines/>
      <w:spacing w:after="240"/>
      <w:outlineLvl w:val="4"/>
    </w:pPr>
    <w:rPr>
      <w:rFonts w:eastAsiaTheme="majorEastAsia" w:cstheme="majorBidi"/>
      <w:b/>
      <w:i/>
      <w:color w:val="595959" w:themeColor="text1" w:themeTint="A6"/>
    </w:rPr>
  </w:style>
  <w:style w:type="paragraph" w:styleId="Ttulo6">
    <w:name w:val="heading 6"/>
    <w:basedOn w:val="Normal"/>
    <w:next w:val="Normal"/>
    <w:link w:val="Ttulo6Car"/>
    <w:uiPriority w:val="9"/>
    <w:semiHidden/>
    <w:unhideWhenUsed/>
    <w:qFormat/>
    <w:rsid w:val="00B63B0E"/>
    <w:pPr>
      <w:keepNext/>
      <w:keepLines/>
      <w:spacing w:before="200" w:after="0"/>
      <w:outlineLvl w:val="5"/>
    </w:pPr>
    <w:rPr>
      <w:rFonts w:eastAsiaTheme="majorEastAsia"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5507"/>
    <w:rPr>
      <w:rFonts w:ascii="Arial" w:eastAsiaTheme="majorEastAsia" w:hAnsi="Arial" w:cstheme="majorBidi"/>
      <w:b/>
      <w:bCs/>
      <w:smallCaps/>
      <w:color w:val="595959" w:themeColor="text1" w:themeTint="A6"/>
      <w:sz w:val="24"/>
      <w:szCs w:val="28"/>
    </w:rPr>
  </w:style>
  <w:style w:type="character" w:customStyle="1" w:styleId="Ttulo2Car">
    <w:name w:val="Título 2 Car"/>
    <w:basedOn w:val="Fuentedeprrafopredeter"/>
    <w:link w:val="Ttulo2"/>
    <w:uiPriority w:val="9"/>
    <w:rsid w:val="00AC5507"/>
    <w:rPr>
      <w:rFonts w:ascii="Arial" w:eastAsiaTheme="majorEastAsia" w:hAnsi="Arial" w:cstheme="majorBidi"/>
      <w:b/>
      <w:bCs/>
      <w:smallCaps/>
      <w:color w:val="595959" w:themeColor="text1" w:themeTint="A6"/>
      <w:szCs w:val="26"/>
    </w:rPr>
  </w:style>
  <w:style w:type="character" w:customStyle="1" w:styleId="Ttulo3Car">
    <w:name w:val="Título 3 Car"/>
    <w:basedOn w:val="Fuentedeprrafopredeter"/>
    <w:link w:val="Ttulo3"/>
    <w:uiPriority w:val="9"/>
    <w:rsid w:val="00AC5507"/>
    <w:rPr>
      <w:rFonts w:ascii="Arial" w:eastAsiaTheme="majorEastAsia" w:hAnsi="Arial" w:cstheme="majorBidi"/>
      <w:b/>
      <w:bCs/>
      <w:color w:val="595959" w:themeColor="text1" w:themeTint="A6"/>
      <w:sz w:val="20"/>
    </w:rPr>
  </w:style>
  <w:style w:type="character" w:customStyle="1" w:styleId="Ttulo4Car">
    <w:name w:val="Título 4 Car"/>
    <w:basedOn w:val="Fuentedeprrafopredeter"/>
    <w:link w:val="Ttulo4"/>
    <w:uiPriority w:val="9"/>
    <w:rsid w:val="00AC5507"/>
    <w:rPr>
      <w:rFonts w:ascii="Arial" w:eastAsiaTheme="majorEastAsia" w:hAnsi="Arial" w:cstheme="majorBidi"/>
      <w:b/>
      <w:bCs/>
      <w:iCs/>
      <w:smallCaps/>
      <w:color w:val="595959" w:themeColor="text1" w:themeTint="A6"/>
      <w:sz w:val="20"/>
    </w:rPr>
  </w:style>
  <w:style w:type="character" w:customStyle="1" w:styleId="Ttulo5Car">
    <w:name w:val="Título 5 Car"/>
    <w:basedOn w:val="Fuentedeprrafopredeter"/>
    <w:link w:val="Ttulo5"/>
    <w:uiPriority w:val="9"/>
    <w:rsid w:val="00AC5507"/>
    <w:rPr>
      <w:rFonts w:ascii="Arial" w:eastAsiaTheme="majorEastAsia" w:hAnsi="Arial" w:cstheme="majorBidi"/>
      <w:b/>
      <w:i/>
      <w:color w:val="595959" w:themeColor="text1" w:themeTint="A6"/>
      <w:sz w:val="20"/>
    </w:rPr>
  </w:style>
  <w:style w:type="character" w:customStyle="1" w:styleId="Ttulo6Car">
    <w:name w:val="Título 6 Car"/>
    <w:basedOn w:val="Fuentedeprrafopredeter"/>
    <w:link w:val="Ttulo6"/>
    <w:rsid w:val="00B63B0E"/>
    <w:rPr>
      <w:rFonts w:ascii="Times New Roman" w:eastAsiaTheme="majorEastAsia" w:hAnsi="Times New Roman" w:cstheme="majorBidi"/>
      <w:i/>
      <w:iCs/>
      <w:color w:val="243F60" w:themeColor="accent1" w:themeShade="7F"/>
    </w:rPr>
  </w:style>
  <w:style w:type="paragraph" w:styleId="Encabezado">
    <w:name w:val="header"/>
    <w:basedOn w:val="Normal"/>
    <w:link w:val="EncabezadoCar"/>
    <w:uiPriority w:val="99"/>
    <w:unhideWhenUsed/>
    <w:rsid w:val="002862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627B"/>
  </w:style>
  <w:style w:type="paragraph" w:styleId="Piedepgina">
    <w:name w:val="footer"/>
    <w:basedOn w:val="Normal"/>
    <w:link w:val="PiedepginaCar"/>
    <w:uiPriority w:val="99"/>
    <w:unhideWhenUsed/>
    <w:rsid w:val="002862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627B"/>
  </w:style>
  <w:style w:type="paragraph" w:styleId="Textodeglobo">
    <w:name w:val="Balloon Text"/>
    <w:basedOn w:val="Normal"/>
    <w:link w:val="TextodegloboCar"/>
    <w:uiPriority w:val="99"/>
    <w:semiHidden/>
    <w:unhideWhenUsed/>
    <w:rsid w:val="00954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413A"/>
    <w:rPr>
      <w:rFonts w:ascii="Tahoma" w:hAnsi="Tahoma" w:cs="Tahoma"/>
      <w:sz w:val="16"/>
      <w:szCs w:val="16"/>
    </w:rPr>
  </w:style>
  <w:style w:type="paragraph" w:styleId="Prrafodelista">
    <w:name w:val="List Paragraph"/>
    <w:aliases w:val="4 Párrafo de lista,Figuras,Dot pt,No Spacing1,List Paragraph Char Char Char,Indicator Text,List Paragraph1,Numbered Para 1,DH1,Listas,lp1,Light Grid - Accent 31,Párrafo Título 3,Bullet List,FooterText,numbered,Paragraphe de liste1,列出段落"/>
    <w:basedOn w:val="Normal"/>
    <w:link w:val="PrrafodelistaCar"/>
    <w:uiPriority w:val="34"/>
    <w:qFormat/>
    <w:rsid w:val="00007BE2"/>
    <w:pPr>
      <w:spacing w:after="160" w:line="259" w:lineRule="auto"/>
      <w:ind w:left="720"/>
      <w:contextualSpacing/>
    </w:pPr>
  </w:style>
  <w:style w:type="paragraph" w:styleId="TtuloTDC">
    <w:name w:val="TOC Heading"/>
    <w:basedOn w:val="Ttulo1"/>
    <w:next w:val="Normal"/>
    <w:uiPriority w:val="39"/>
    <w:unhideWhenUsed/>
    <w:qFormat/>
    <w:rsid w:val="00B84038"/>
    <w:pPr>
      <w:spacing w:before="480" w:after="0"/>
      <w:jc w:val="left"/>
      <w:outlineLvl w:val="9"/>
    </w:pPr>
    <w:rPr>
      <w:rFonts w:asciiTheme="majorHAnsi" w:hAnsiTheme="majorHAnsi"/>
      <w:lang w:eastAsia="es-MX"/>
    </w:rPr>
  </w:style>
  <w:style w:type="paragraph" w:styleId="TDC1">
    <w:name w:val="toc 1"/>
    <w:basedOn w:val="Normal"/>
    <w:next w:val="Normal"/>
    <w:autoRedefine/>
    <w:uiPriority w:val="39"/>
    <w:unhideWhenUsed/>
    <w:qFormat/>
    <w:rsid w:val="00004FF9"/>
    <w:pPr>
      <w:spacing w:before="120" w:after="120"/>
      <w:jc w:val="left"/>
    </w:pPr>
    <w:rPr>
      <w:rFonts w:asciiTheme="minorHAnsi" w:hAnsiTheme="minorHAnsi" w:cstheme="minorHAnsi"/>
      <w:b/>
      <w:bCs/>
      <w:caps/>
      <w:szCs w:val="20"/>
    </w:rPr>
  </w:style>
  <w:style w:type="paragraph" w:styleId="TDC2">
    <w:name w:val="toc 2"/>
    <w:basedOn w:val="Normal"/>
    <w:next w:val="Normal"/>
    <w:autoRedefine/>
    <w:uiPriority w:val="39"/>
    <w:unhideWhenUsed/>
    <w:qFormat/>
    <w:rsid w:val="008B01BB"/>
    <w:pPr>
      <w:spacing w:after="0"/>
      <w:ind w:left="200"/>
      <w:jc w:val="left"/>
    </w:pPr>
    <w:rPr>
      <w:rFonts w:asciiTheme="minorHAnsi" w:hAnsiTheme="minorHAnsi" w:cstheme="minorHAnsi"/>
      <w:smallCaps/>
      <w:szCs w:val="20"/>
    </w:rPr>
  </w:style>
  <w:style w:type="character" w:styleId="Hipervnculo">
    <w:name w:val="Hyperlink"/>
    <w:basedOn w:val="Fuentedeprrafopredeter"/>
    <w:uiPriority w:val="99"/>
    <w:unhideWhenUsed/>
    <w:rsid w:val="00B84038"/>
    <w:rPr>
      <w:color w:val="0000FF" w:themeColor="hyperlink"/>
      <w:u w:val="single"/>
    </w:rPr>
  </w:style>
  <w:style w:type="paragraph" w:styleId="NormalWeb">
    <w:name w:val="Normal (Web)"/>
    <w:basedOn w:val="Normal"/>
    <w:uiPriority w:val="99"/>
    <w:unhideWhenUsed/>
    <w:rsid w:val="00E4050F"/>
    <w:pPr>
      <w:spacing w:before="100" w:beforeAutospacing="1" w:after="100" w:afterAutospacing="1" w:line="240" w:lineRule="auto"/>
    </w:pPr>
    <w:rPr>
      <w:rFonts w:eastAsiaTheme="minorEastAsia" w:cs="Times New Roman"/>
      <w:sz w:val="24"/>
      <w:szCs w:val="24"/>
      <w:lang w:eastAsia="es-MX"/>
    </w:rPr>
  </w:style>
  <w:style w:type="paragraph" w:styleId="TDC3">
    <w:name w:val="toc 3"/>
    <w:basedOn w:val="Normal"/>
    <w:next w:val="Normal"/>
    <w:autoRedefine/>
    <w:uiPriority w:val="39"/>
    <w:unhideWhenUsed/>
    <w:rsid w:val="00176A96"/>
    <w:pPr>
      <w:spacing w:after="0"/>
      <w:ind w:left="400"/>
      <w:jc w:val="left"/>
    </w:pPr>
    <w:rPr>
      <w:rFonts w:asciiTheme="minorHAnsi" w:hAnsiTheme="minorHAnsi" w:cstheme="minorHAnsi"/>
      <w:i/>
      <w:iCs/>
      <w:szCs w:val="20"/>
    </w:rPr>
  </w:style>
  <w:style w:type="paragraph" w:styleId="TDC4">
    <w:name w:val="toc 4"/>
    <w:basedOn w:val="Normal"/>
    <w:next w:val="Normal"/>
    <w:autoRedefine/>
    <w:uiPriority w:val="39"/>
    <w:unhideWhenUsed/>
    <w:rsid w:val="00035246"/>
    <w:pPr>
      <w:spacing w:after="0" w:line="276" w:lineRule="auto"/>
    </w:pPr>
    <w:rPr>
      <w:rFonts w:asciiTheme="minorHAnsi" w:hAnsiTheme="minorHAnsi" w:cstheme="minorHAnsi"/>
      <w:b/>
      <w:smallCaps/>
      <w:color w:val="31849B" w:themeColor="accent5" w:themeShade="BF"/>
      <w:sz w:val="144"/>
      <w:szCs w:val="80"/>
    </w:rPr>
  </w:style>
  <w:style w:type="paragraph" w:styleId="TDC5">
    <w:name w:val="toc 5"/>
    <w:basedOn w:val="Normal"/>
    <w:next w:val="Normal"/>
    <w:autoRedefine/>
    <w:uiPriority w:val="39"/>
    <w:unhideWhenUsed/>
    <w:rsid w:val="00176A96"/>
    <w:pPr>
      <w:spacing w:after="0"/>
      <w:ind w:left="800"/>
      <w:jc w:val="left"/>
    </w:pPr>
    <w:rPr>
      <w:rFonts w:asciiTheme="minorHAnsi" w:hAnsiTheme="minorHAnsi" w:cstheme="minorHAnsi"/>
      <w:sz w:val="18"/>
      <w:szCs w:val="18"/>
    </w:rPr>
  </w:style>
  <w:style w:type="paragraph" w:styleId="TDC6">
    <w:name w:val="toc 6"/>
    <w:basedOn w:val="Normal"/>
    <w:next w:val="Normal"/>
    <w:autoRedefine/>
    <w:uiPriority w:val="39"/>
    <w:unhideWhenUsed/>
    <w:rsid w:val="00176A96"/>
    <w:pPr>
      <w:spacing w:after="0"/>
      <w:ind w:left="1000"/>
      <w:jc w:val="left"/>
    </w:pPr>
    <w:rPr>
      <w:rFonts w:asciiTheme="minorHAnsi" w:hAnsiTheme="minorHAnsi" w:cstheme="minorHAnsi"/>
      <w:sz w:val="18"/>
      <w:szCs w:val="18"/>
    </w:rPr>
  </w:style>
  <w:style w:type="paragraph" w:styleId="TDC7">
    <w:name w:val="toc 7"/>
    <w:basedOn w:val="Normal"/>
    <w:next w:val="Normal"/>
    <w:autoRedefine/>
    <w:uiPriority w:val="39"/>
    <w:unhideWhenUsed/>
    <w:rsid w:val="00176A96"/>
    <w:pPr>
      <w:spacing w:after="0"/>
      <w:ind w:left="1200"/>
      <w:jc w:val="left"/>
    </w:pPr>
    <w:rPr>
      <w:rFonts w:asciiTheme="minorHAnsi" w:hAnsiTheme="minorHAnsi" w:cstheme="minorHAnsi"/>
      <w:sz w:val="18"/>
      <w:szCs w:val="18"/>
    </w:rPr>
  </w:style>
  <w:style w:type="paragraph" w:styleId="TDC8">
    <w:name w:val="toc 8"/>
    <w:basedOn w:val="Normal"/>
    <w:next w:val="Normal"/>
    <w:autoRedefine/>
    <w:uiPriority w:val="39"/>
    <w:unhideWhenUsed/>
    <w:rsid w:val="00176A96"/>
    <w:pPr>
      <w:spacing w:after="0"/>
      <w:ind w:left="1400"/>
      <w:jc w:val="left"/>
    </w:pPr>
    <w:rPr>
      <w:rFonts w:asciiTheme="minorHAnsi" w:hAnsiTheme="minorHAnsi" w:cstheme="minorHAnsi"/>
      <w:sz w:val="18"/>
      <w:szCs w:val="18"/>
    </w:rPr>
  </w:style>
  <w:style w:type="paragraph" w:styleId="TDC9">
    <w:name w:val="toc 9"/>
    <w:basedOn w:val="Normal"/>
    <w:next w:val="Normal"/>
    <w:autoRedefine/>
    <w:uiPriority w:val="39"/>
    <w:unhideWhenUsed/>
    <w:rsid w:val="00176A96"/>
    <w:pPr>
      <w:spacing w:after="0"/>
      <w:ind w:left="1600"/>
      <w:jc w:val="left"/>
    </w:pPr>
    <w:rPr>
      <w:rFonts w:asciiTheme="minorHAnsi" w:hAnsiTheme="minorHAnsi" w:cstheme="minorHAnsi"/>
      <w:sz w:val="18"/>
      <w:szCs w:val="18"/>
    </w:rPr>
  </w:style>
  <w:style w:type="paragraph" w:styleId="Sinespaciado">
    <w:name w:val="No Spacing"/>
    <w:link w:val="SinespaciadoCar"/>
    <w:uiPriority w:val="1"/>
    <w:qFormat/>
    <w:rsid w:val="004C108A"/>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4C108A"/>
    <w:rPr>
      <w:rFonts w:ascii="Calibri" w:eastAsia="Calibri" w:hAnsi="Calibri" w:cs="Times New Roman"/>
    </w:rPr>
  </w:style>
  <w:style w:type="table" w:styleId="Tablaconcuadrcula">
    <w:name w:val="Table Grid"/>
    <w:basedOn w:val="Tablanormal"/>
    <w:uiPriority w:val="39"/>
    <w:rsid w:val="00B7078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BA5D21"/>
    <w:rPr>
      <w:color w:val="605E5C"/>
      <w:shd w:val="clear" w:color="auto" w:fill="E1DFDD"/>
    </w:rPr>
  </w:style>
  <w:style w:type="character" w:styleId="Hipervnculovisitado">
    <w:name w:val="FollowedHyperlink"/>
    <w:basedOn w:val="Fuentedeprrafopredeter"/>
    <w:uiPriority w:val="99"/>
    <w:semiHidden/>
    <w:unhideWhenUsed/>
    <w:rsid w:val="009A7C9F"/>
    <w:rPr>
      <w:color w:val="954F72"/>
      <w:u w:val="single"/>
    </w:rPr>
  </w:style>
  <w:style w:type="paragraph" w:customStyle="1" w:styleId="xl65">
    <w:name w:val="xl65"/>
    <w:basedOn w:val="Normal"/>
    <w:rsid w:val="009A7C9F"/>
    <w:pPr>
      <w:pBdr>
        <w:top w:val="single" w:sz="4" w:space="0" w:color="D9D9D9"/>
        <w:left w:val="single" w:sz="4" w:space="0" w:color="D9D9D9"/>
        <w:bottom w:val="single" w:sz="4" w:space="0" w:color="D9D9D9"/>
        <w:right w:val="single" w:sz="4" w:space="0" w:color="D9D9D9"/>
      </w:pBdr>
      <w:shd w:val="clear" w:color="000000" w:fill="861D31"/>
      <w:spacing w:before="100" w:beforeAutospacing="1" w:after="100" w:afterAutospacing="1" w:line="240" w:lineRule="auto"/>
      <w:jc w:val="center"/>
      <w:textAlignment w:val="center"/>
    </w:pPr>
    <w:rPr>
      <w:rFonts w:eastAsia="Times New Roman" w:cs="Times New Roman"/>
      <w:color w:val="FFFFFF"/>
      <w:sz w:val="18"/>
      <w:szCs w:val="18"/>
      <w:lang w:eastAsia="es-MX"/>
    </w:rPr>
  </w:style>
  <w:style w:type="paragraph" w:customStyle="1" w:styleId="xl66">
    <w:name w:val="xl66"/>
    <w:basedOn w:val="Normal"/>
    <w:rsid w:val="009A7C9F"/>
    <w:pPr>
      <w:pBdr>
        <w:top w:val="single" w:sz="4" w:space="0" w:color="D9D9D9"/>
        <w:left w:val="single" w:sz="4" w:space="0" w:color="D9D9D9"/>
        <w:right w:val="single" w:sz="4" w:space="0" w:color="D9D9D9"/>
      </w:pBdr>
      <w:shd w:val="clear" w:color="000000" w:fill="861D31"/>
      <w:spacing w:before="100" w:beforeAutospacing="1" w:after="100" w:afterAutospacing="1" w:line="240" w:lineRule="auto"/>
      <w:jc w:val="center"/>
      <w:textAlignment w:val="center"/>
    </w:pPr>
    <w:rPr>
      <w:rFonts w:eastAsia="Times New Roman" w:cs="Times New Roman"/>
      <w:color w:val="FFFFFF"/>
      <w:sz w:val="18"/>
      <w:szCs w:val="18"/>
      <w:lang w:eastAsia="es-MX"/>
    </w:rPr>
  </w:style>
  <w:style w:type="paragraph" w:customStyle="1" w:styleId="xl67">
    <w:name w:val="xl67"/>
    <w:basedOn w:val="Normal"/>
    <w:rsid w:val="009A7C9F"/>
    <w:pPr>
      <w:pBdr>
        <w:top w:val="single" w:sz="4" w:space="0" w:color="D9D9D9"/>
        <w:left w:val="single" w:sz="4" w:space="0" w:color="D9D9D9"/>
        <w:right w:val="single" w:sz="4" w:space="0" w:color="D9D9D9"/>
      </w:pBdr>
      <w:shd w:val="clear" w:color="000000" w:fill="861D31"/>
      <w:spacing w:before="100" w:beforeAutospacing="1" w:after="100" w:afterAutospacing="1" w:line="240" w:lineRule="auto"/>
      <w:jc w:val="center"/>
      <w:textAlignment w:val="center"/>
    </w:pPr>
    <w:rPr>
      <w:rFonts w:eastAsia="Times New Roman" w:cs="Times New Roman"/>
      <w:color w:val="FFFFFF"/>
      <w:sz w:val="18"/>
      <w:szCs w:val="18"/>
      <w:lang w:eastAsia="es-MX"/>
    </w:rPr>
  </w:style>
  <w:style w:type="paragraph" w:customStyle="1" w:styleId="xl68">
    <w:name w:val="xl68"/>
    <w:basedOn w:val="Normal"/>
    <w:rsid w:val="009A7C9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left"/>
      <w:textAlignment w:val="center"/>
    </w:pPr>
    <w:rPr>
      <w:rFonts w:eastAsia="Times New Roman" w:cs="Times New Roman"/>
      <w:sz w:val="18"/>
      <w:szCs w:val="18"/>
      <w:lang w:eastAsia="es-MX"/>
    </w:rPr>
  </w:style>
  <w:style w:type="paragraph" w:customStyle="1" w:styleId="xl69">
    <w:name w:val="xl69"/>
    <w:basedOn w:val="Normal"/>
    <w:rsid w:val="009A7C9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left"/>
      <w:textAlignment w:val="center"/>
    </w:pPr>
    <w:rPr>
      <w:rFonts w:eastAsia="Times New Roman" w:cs="Times New Roman"/>
      <w:sz w:val="18"/>
      <w:szCs w:val="18"/>
      <w:lang w:eastAsia="es-MX"/>
    </w:rPr>
  </w:style>
  <w:style w:type="paragraph" w:customStyle="1" w:styleId="xl70">
    <w:name w:val="xl70"/>
    <w:basedOn w:val="Normal"/>
    <w:rsid w:val="009A7C9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eastAsia="Times New Roman" w:cs="Times New Roman"/>
      <w:sz w:val="18"/>
      <w:szCs w:val="18"/>
      <w:lang w:eastAsia="es-MX"/>
    </w:rPr>
  </w:style>
  <w:style w:type="paragraph" w:customStyle="1" w:styleId="xl71">
    <w:name w:val="xl71"/>
    <w:basedOn w:val="Normal"/>
    <w:rsid w:val="009A7C9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eastAsia="Times New Roman" w:cs="Times New Roman"/>
      <w:sz w:val="18"/>
      <w:szCs w:val="18"/>
      <w:lang w:eastAsia="es-MX"/>
    </w:rPr>
  </w:style>
  <w:style w:type="paragraph" w:styleId="Textonotapie">
    <w:name w:val="footnote text"/>
    <w:aliases w:val=" Car Car Car Car Car Car Car Car Car Car, Car Car Car Car Car Car Car Car Car Car Car, Car Car Car Car Car Car Car Car Car Car Car Car Car"/>
    <w:basedOn w:val="Normal"/>
    <w:link w:val="TextonotapieCar"/>
    <w:unhideWhenUsed/>
    <w:rsid w:val="00093094"/>
    <w:pPr>
      <w:spacing w:after="0" w:line="240" w:lineRule="auto"/>
    </w:pPr>
    <w:rPr>
      <w:szCs w:val="20"/>
    </w:rPr>
  </w:style>
  <w:style w:type="character" w:customStyle="1" w:styleId="TextonotapieCar">
    <w:name w:val="Texto nota pie Car"/>
    <w:aliases w:val=" Car Car Car Car Car Car Car Car Car Car Car1, Car Car Car Car Car Car Car Car Car Car Car Car, Car Car Car Car Car Car Car Car Car Car Car Car Car Car"/>
    <w:basedOn w:val="Fuentedeprrafopredeter"/>
    <w:link w:val="Textonotapie"/>
    <w:rsid w:val="00093094"/>
    <w:rPr>
      <w:rFonts w:ascii="Times New Roman" w:hAnsi="Times New Roman"/>
      <w:sz w:val="20"/>
      <w:szCs w:val="20"/>
    </w:rPr>
  </w:style>
  <w:style w:type="character" w:styleId="Refdenotaalpie">
    <w:name w:val="footnote reference"/>
    <w:basedOn w:val="Fuentedeprrafopredeter"/>
    <w:unhideWhenUsed/>
    <w:rsid w:val="00093094"/>
    <w:rPr>
      <w:vertAlign w:val="superscript"/>
    </w:rPr>
  </w:style>
  <w:style w:type="paragraph" w:customStyle="1" w:styleId="Prrafodelista1">
    <w:name w:val="Párrafo de lista1"/>
    <w:basedOn w:val="Normal"/>
    <w:uiPriority w:val="99"/>
    <w:qFormat/>
    <w:rsid w:val="002B7F20"/>
    <w:pPr>
      <w:overflowPunct w:val="0"/>
      <w:autoSpaceDE w:val="0"/>
      <w:autoSpaceDN w:val="0"/>
      <w:adjustRightInd w:val="0"/>
      <w:spacing w:line="276" w:lineRule="auto"/>
      <w:ind w:left="720"/>
      <w:contextualSpacing/>
      <w:jc w:val="left"/>
      <w:textAlignment w:val="baseline"/>
    </w:pPr>
    <w:rPr>
      <w:rFonts w:ascii="Calibri" w:eastAsia="Calibri" w:hAnsi="Calibri" w:cs="Times New Roman"/>
    </w:rPr>
  </w:style>
  <w:style w:type="numbering" w:customStyle="1" w:styleId="Estilo76">
    <w:name w:val="Estilo76"/>
    <w:uiPriority w:val="99"/>
    <w:rsid w:val="00600414"/>
    <w:pPr>
      <w:numPr>
        <w:numId w:val="2"/>
      </w:numPr>
    </w:p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link w:val="Prrafodelista"/>
    <w:uiPriority w:val="34"/>
    <w:rsid w:val="004253F0"/>
    <w:rPr>
      <w:rFonts w:ascii="Arial" w:hAnsi="Arial"/>
      <w:sz w:val="20"/>
    </w:rPr>
  </w:style>
  <w:style w:type="paragraph" w:customStyle="1" w:styleId="Listavistosa-nfasis11">
    <w:name w:val="Lista vistosa - Énfasis 11"/>
    <w:basedOn w:val="Normal"/>
    <w:uiPriority w:val="34"/>
    <w:qFormat/>
    <w:rsid w:val="004274DA"/>
    <w:pPr>
      <w:overflowPunct w:val="0"/>
      <w:autoSpaceDE w:val="0"/>
      <w:autoSpaceDN w:val="0"/>
      <w:adjustRightInd w:val="0"/>
      <w:spacing w:after="0" w:line="240" w:lineRule="auto"/>
      <w:ind w:left="708"/>
      <w:jc w:val="left"/>
      <w:textAlignment w:val="baseline"/>
    </w:pPr>
    <w:rPr>
      <w:rFonts w:ascii="Times New Roman" w:eastAsia="Times New Roman" w:hAnsi="Times New Roman" w:cs="Times New Roman"/>
      <w:szCs w:val="20"/>
      <w:lang w:eastAsia="es-ES"/>
    </w:rPr>
  </w:style>
  <w:style w:type="numbering" w:customStyle="1" w:styleId="Estilo37">
    <w:name w:val="Estilo37"/>
    <w:uiPriority w:val="99"/>
    <w:rsid w:val="00B22673"/>
    <w:pPr>
      <w:numPr>
        <w:numId w:val="17"/>
      </w:numPr>
    </w:pPr>
  </w:style>
  <w:style w:type="numbering" w:customStyle="1" w:styleId="Estilo88">
    <w:name w:val="Estilo88"/>
    <w:uiPriority w:val="99"/>
    <w:rsid w:val="00B22673"/>
    <w:pPr>
      <w:numPr>
        <w:numId w:val="19"/>
      </w:numPr>
    </w:pPr>
  </w:style>
  <w:style w:type="numbering" w:customStyle="1" w:styleId="Estilo95">
    <w:name w:val="Estilo95"/>
    <w:uiPriority w:val="99"/>
    <w:rsid w:val="00B22673"/>
    <w:pPr>
      <w:numPr>
        <w:numId w:val="21"/>
      </w:numPr>
    </w:pPr>
  </w:style>
  <w:style w:type="numbering" w:customStyle="1" w:styleId="Estilo96">
    <w:name w:val="Estilo96"/>
    <w:uiPriority w:val="99"/>
    <w:rsid w:val="002C5D2C"/>
    <w:pPr>
      <w:numPr>
        <w:numId w:val="22"/>
      </w:numPr>
    </w:pPr>
  </w:style>
  <w:style w:type="numbering" w:customStyle="1" w:styleId="Estilo24">
    <w:name w:val="Estilo24"/>
    <w:uiPriority w:val="99"/>
    <w:rsid w:val="002C5D2C"/>
    <w:pPr>
      <w:numPr>
        <w:numId w:val="23"/>
      </w:numPr>
    </w:pPr>
  </w:style>
  <w:style w:type="numbering" w:customStyle="1" w:styleId="Estilo97">
    <w:name w:val="Estilo97"/>
    <w:uiPriority w:val="99"/>
    <w:rsid w:val="00CA662A"/>
    <w:pPr>
      <w:numPr>
        <w:numId w:val="25"/>
      </w:numPr>
    </w:pPr>
  </w:style>
  <w:style w:type="numbering" w:customStyle="1" w:styleId="Estilo99">
    <w:name w:val="Estilo99"/>
    <w:uiPriority w:val="99"/>
    <w:rsid w:val="005A7860"/>
    <w:pPr>
      <w:numPr>
        <w:numId w:val="28"/>
      </w:numPr>
    </w:pPr>
  </w:style>
  <w:style w:type="numbering" w:customStyle="1" w:styleId="Estilo100">
    <w:name w:val="Estilo100"/>
    <w:uiPriority w:val="99"/>
    <w:rsid w:val="005A7860"/>
    <w:pPr>
      <w:numPr>
        <w:numId w:val="30"/>
      </w:numPr>
    </w:pPr>
  </w:style>
  <w:style w:type="numbering" w:customStyle="1" w:styleId="Estilo101">
    <w:name w:val="Estilo101"/>
    <w:uiPriority w:val="99"/>
    <w:rsid w:val="00A870CE"/>
    <w:pPr>
      <w:numPr>
        <w:numId w:val="31"/>
      </w:numPr>
    </w:pPr>
  </w:style>
  <w:style w:type="numbering" w:customStyle="1" w:styleId="Estilo102">
    <w:name w:val="Estilo102"/>
    <w:uiPriority w:val="99"/>
    <w:rsid w:val="00A870CE"/>
    <w:pPr>
      <w:numPr>
        <w:numId w:val="33"/>
      </w:numPr>
    </w:pPr>
  </w:style>
  <w:style w:type="numbering" w:customStyle="1" w:styleId="Estilo103">
    <w:name w:val="Estilo103"/>
    <w:uiPriority w:val="99"/>
    <w:rsid w:val="00765264"/>
    <w:pPr>
      <w:numPr>
        <w:numId w:val="35"/>
      </w:numPr>
    </w:pPr>
  </w:style>
  <w:style w:type="numbering" w:customStyle="1" w:styleId="Estilo104">
    <w:name w:val="Estilo104"/>
    <w:uiPriority w:val="99"/>
    <w:rsid w:val="00765264"/>
    <w:pPr>
      <w:numPr>
        <w:numId w:val="36"/>
      </w:numPr>
    </w:pPr>
  </w:style>
  <w:style w:type="numbering" w:customStyle="1" w:styleId="Estilo105">
    <w:name w:val="Estilo105"/>
    <w:uiPriority w:val="99"/>
    <w:rsid w:val="003F6330"/>
    <w:pPr>
      <w:numPr>
        <w:numId w:val="38"/>
      </w:numPr>
    </w:pPr>
  </w:style>
  <w:style w:type="numbering" w:customStyle="1" w:styleId="Estilo106">
    <w:name w:val="Estilo106"/>
    <w:uiPriority w:val="99"/>
    <w:rsid w:val="003F6330"/>
    <w:pPr>
      <w:numPr>
        <w:numId w:val="40"/>
      </w:numPr>
    </w:pPr>
  </w:style>
  <w:style w:type="numbering" w:customStyle="1" w:styleId="Estilo107">
    <w:name w:val="Estilo107"/>
    <w:uiPriority w:val="99"/>
    <w:rsid w:val="003D61BD"/>
    <w:pPr>
      <w:numPr>
        <w:numId w:val="42"/>
      </w:numPr>
    </w:pPr>
  </w:style>
  <w:style w:type="numbering" w:customStyle="1" w:styleId="Estilo108">
    <w:name w:val="Estilo108"/>
    <w:uiPriority w:val="99"/>
    <w:rsid w:val="003D61BD"/>
    <w:pPr>
      <w:numPr>
        <w:numId w:val="44"/>
      </w:numPr>
    </w:pPr>
  </w:style>
  <w:style w:type="character" w:customStyle="1" w:styleId="TextocomentarioCar">
    <w:name w:val="Texto comentario Car"/>
    <w:basedOn w:val="Fuentedeprrafopredeter"/>
    <w:link w:val="Textocomentario"/>
    <w:uiPriority w:val="99"/>
    <w:rsid w:val="008E40C5"/>
    <w:rPr>
      <w:rFonts w:ascii="Tw Cen MT" w:eastAsia="Times New Roman" w:hAnsi="Tw Cen MT" w:cs="Times New Roman"/>
      <w:sz w:val="20"/>
      <w:szCs w:val="20"/>
      <w:lang w:val="es-ES"/>
    </w:rPr>
  </w:style>
  <w:style w:type="paragraph" w:styleId="Textocomentario">
    <w:name w:val="annotation text"/>
    <w:basedOn w:val="Normal"/>
    <w:link w:val="TextocomentarioCar"/>
    <w:uiPriority w:val="99"/>
    <w:rsid w:val="008E40C5"/>
    <w:pPr>
      <w:spacing w:after="0" w:line="240" w:lineRule="auto"/>
      <w:jc w:val="left"/>
    </w:pPr>
    <w:rPr>
      <w:rFonts w:ascii="Tw Cen MT" w:eastAsia="Times New Roman" w:hAnsi="Tw Cen MT" w:cs="Times New Roman"/>
      <w:szCs w:val="20"/>
      <w:lang w:val="es-ES"/>
    </w:rPr>
  </w:style>
  <w:style w:type="character" w:customStyle="1" w:styleId="TextocomentarioCar1">
    <w:name w:val="Texto comentario Car1"/>
    <w:basedOn w:val="Fuentedeprrafopredeter"/>
    <w:uiPriority w:val="99"/>
    <w:semiHidden/>
    <w:rsid w:val="008E40C5"/>
    <w:rPr>
      <w:rFonts w:ascii="Arial" w:hAnsi="Arial"/>
      <w:sz w:val="20"/>
      <w:szCs w:val="20"/>
    </w:rPr>
  </w:style>
  <w:style w:type="paragraph" w:customStyle="1" w:styleId="Textocuadro">
    <w:name w:val="Texto cuadro"/>
    <w:basedOn w:val="Normal"/>
    <w:next w:val="Normal"/>
    <w:rsid w:val="00D32674"/>
    <w:pPr>
      <w:spacing w:before="20" w:after="0" w:line="240" w:lineRule="auto"/>
      <w:jc w:val="left"/>
    </w:pPr>
    <w:rPr>
      <w:rFonts w:ascii="Soberana Sans" w:eastAsia="Times New Roman" w:hAnsi="Soberana Sans" w:cs="Times New Roman"/>
      <w:sz w:val="12"/>
      <w:szCs w:val="20"/>
      <w:lang w:val="es-ES"/>
    </w:rPr>
  </w:style>
  <w:style w:type="table" w:customStyle="1" w:styleId="Tablaconcuadrcula1">
    <w:name w:val="Tabla con cuadrícula1"/>
    <w:basedOn w:val="Tablanormal"/>
    <w:next w:val="Tablaconcuadrcula"/>
    <w:uiPriority w:val="39"/>
    <w:rsid w:val="00E61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7F74DE"/>
    <w:rPr>
      <w:color w:val="605E5C"/>
      <w:shd w:val="clear" w:color="auto" w:fill="E1DFDD"/>
    </w:rPr>
  </w:style>
  <w:style w:type="character" w:styleId="Textoennegrita">
    <w:name w:val="Strong"/>
    <w:basedOn w:val="Fuentedeprrafopredeter"/>
    <w:uiPriority w:val="22"/>
    <w:qFormat/>
    <w:rsid w:val="00544A63"/>
    <w:rPr>
      <w:b/>
      <w:bCs/>
    </w:rPr>
  </w:style>
  <w:style w:type="character" w:styleId="nfasis">
    <w:name w:val="Emphasis"/>
    <w:basedOn w:val="Fuentedeprrafopredeter"/>
    <w:uiPriority w:val="20"/>
    <w:qFormat/>
    <w:rsid w:val="00544A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7329">
      <w:bodyDiv w:val="1"/>
      <w:marLeft w:val="0"/>
      <w:marRight w:val="0"/>
      <w:marTop w:val="0"/>
      <w:marBottom w:val="0"/>
      <w:divBdr>
        <w:top w:val="none" w:sz="0" w:space="0" w:color="auto"/>
        <w:left w:val="none" w:sz="0" w:space="0" w:color="auto"/>
        <w:bottom w:val="none" w:sz="0" w:space="0" w:color="auto"/>
        <w:right w:val="none" w:sz="0" w:space="0" w:color="auto"/>
      </w:divBdr>
    </w:div>
    <w:div w:id="51346836">
      <w:bodyDiv w:val="1"/>
      <w:marLeft w:val="0"/>
      <w:marRight w:val="0"/>
      <w:marTop w:val="0"/>
      <w:marBottom w:val="0"/>
      <w:divBdr>
        <w:top w:val="none" w:sz="0" w:space="0" w:color="auto"/>
        <w:left w:val="none" w:sz="0" w:space="0" w:color="auto"/>
        <w:bottom w:val="none" w:sz="0" w:space="0" w:color="auto"/>
        <w:right w:val="none" w:sz="0" w:space="0" w:color="auto"/>
      </w:divBdr>
    </w:div>
    <w:div w:id="66803303">
      <w:bodyDiv w:val="1"/>
      <w:marLeft w:val="0"/>
      <w:marRight w:val="0"/>
      <w:marTop w:val="0"/>
      <w:marBottom w:val="0"/>
      <w:divBdr>
        <w:top w:val="none" w:sz="0" w:space="0" w:color="auto"/>
        <w:left w:val="none" w:sz="0" w:space="0" w:color="auto"/>
        <w:bottom w:val="none" w:sz="0" w:space="0" w:color="auto"/>
        <w:right w:val="none" w:sz="0" w:space="0" w:color="auto"/>
      </w:divBdr>
    </w:div>
    <w:div w:id="79910523">
      <w:bodyDiv w:val="1"/>
      <w:marLeft w:val="0"/>
      <w:marRight w:val="0"/>
      <w:marTop w:val="0"/>
      <w:marBottom w:val="0"/>
      <w:divBdr>
        <w:top w:val="none" w:sz="0" w:space="0" w:color="auto"/>
        <w:left w:val="none" w:sz="0" w:space="0" w:color="auto"/>
        <w:bottom w:val="none" w:sz="0" w:space="0" w:color="auto"/>
        <w:right w:val="none" w:sz="0" w:space="0" w:color="auto"/>
      </w:divBdr>
    </w:div>
    <w:div w:id="79955119">
      <w:bodyDiv w:val="1"/>
      <w:marLeft w:val="0"/>
      <w:marRight w:val="0"/>
      <w:marTop w:val="0"/>
      <w:marBottom w:val="0"/>
      <w:divBdr>
        <w:top w:val="none" w:sz="0" w:space="0" w:color="auto"/>
        <w:left w:val="none" w:sz="0" w:space="0" w:color="auto"/>
        <w:bottom w:val="none" w:sz="0" w:space="0" w:color="auto"/>
        <w:right w:val="none" w:sz="0" w:space="0" w:color="auto"/>
      </w:divBdr>
    </w:div>
    <w:div w:id="87391308">
      <w:bodyDiv w:val="1"/>
      <w:marLeft w:val="0"/>
      <w:marRight w:val="0"/>
      <w:marTop w:val="0"/>
      <w:marBottom w:val="0"/>
      <w:divBdr>
        <w:top w:val="none" w:sz="0" w:space="0" w:color="auto"/>
        <w:left w:val="none" w:sz="0" w:space="0" w:color="auto"/>
        <w:bottom w:val="none" w:sz="0" w:space="0" w:color="auto"/>
        <w:right w:val="none" w:sz="0" w:space="0" w:color="auto"/>
      </w:divBdr>
      <w:divsChild>
        <w:div w:id="548878633">
          <w:marLeft w:val="0"/>
          <w:marRight w:val="0"/>
          <w:marTop w:val="0"/>
          <w:marBottom w:val="0"/>
          <w:divBdr>
            <w:top w:val="none" w:sz="0" w:space="0" w:color="auto"/>
            <w:left w:val="none" w:sz="0" w:space="0" w:color="auto"/>
            <w:bottom w:val="none" w:sz="0" w:space="0" w:color="auto"/>
            <w:right w:val="none" w:sz="0" w:space="0" w:color="auto"/>
          </w:divBdr>
          <w:divsChild>
            <w:div w:id="3297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6581">
      <w:bodyDiv w:val="1"/>
      <w:marLeft w:val="0"/>
      <w:marRight w:val="0"/>
      <w:marTop w:val="0"/>
      <w:marBottom w:val="0"/>
      <w:divBdr>
        <w:top w:val="none" w:sz="0" w:space="0" w:color="auto"/>
        <w:left w:val="none" w:sz="0" w:space="0" w:color="auto"/>
        <w:bottom w:val="none" w:sz="0" w:space="0" w:color="auto"/>
        <w:right w:val="none" w:sz="0" w:space="0" w:color="auto"/>
      </w:divBdr>
    </w:div>
    <w:div w:id="99112802">
      <w:bodyDiv w:val="1"/>
      <w:marLeft w:val="0"/>
      <w:marRight w:val="0"/>
      <w:marTop w:val="0"/>
      <w:marBottom w:val="0"/>
      <w:divBdr>
        <w:top w:val="none" w:sz="0" w:space="0" w:color="auto"/>
        <w:left w:val="none" w:sz="0" w:space="0" w:color="auto"/>
        <w:bottom w:val="none" w:sz="0" w:space="0" w:color="auto"/>
        <w:right w:val="none" w:sz="0" w:space="0" w:color="auto"/>
      </w:divBdr>
    </w:div>
    <w:div w:id="135147223">
      <w:bodyDiv w:val="1"/>
      <w:marLeft w:val="0"/>
      <w:marRight w:val="0"/>
      <w:marTop w:val="0"/>
      <w:marBottom w:val="0"/>
      <w:divBdr>
        <w:top w:val="none" w:sz="0" w:space="0" w:color="auto"/>
        <w:left w:val="none" w:sz="0" w:space="0" w:color="auto"/>
        <w:bottom w:val="none" w:sz="0" w:space="0" w:color="auto"/>
        <w:right w:val="none" w:sz="0" w:space="0" w:color="auto"/>
      </w:divBdr>
    </w:div>
    <w:div w:id="222299388">
      <w:bodyDiv w:val="1"/>
      <w:marLeft w:val="0"/>
      <w:marRight w:val="0"/>
      <w:marTop w:val="0"/>
      <w:marBottom w:val="0"/>
      <w:divBdr>
        <w:top w:val="none" w:sz="0" w:space="0" w:color="auto"/>
        <w:left w:val="none" w:sz="0" w:space="0" w:color="auto"/>
        <w:bottom w:val="none" w:sz="0" w:space="0" w:color="auto"/>
        <w:right w:val="none" w:sz="0" w:space="0" w:color="auto"/>
      </w:divBdr>
    </w:div>
    <w:div w:id="303702162">
      <w:bodyDiv w:val="1"/>
      <w:marLeft w:val="0"/>
      <w:marRight w:val="0"/>
      <w:marTop w:val="0"/>
      <w:marBottom w:val="0"/>
      <w:divBdr>
        <w:top w:val="none" w:sz="0" w:space="0" w:color="auto"/>
        <w:left w:val="none" w:sz="0" w:space="0" w:color="auto"/>
        <w:bottom w:val="none" w:sz="0" w:space="0" w:color="auto"/>
        <w:right w:val="none" w:sz="0" w:space="0" w:color="auto"/>
      </w:divBdr>
    </w:div>
    <w:div w:id="329676683">
      <w:bodyDiv w:val="1"/>
      <w:marLeft w:val="0"/>
      <w:marRight w:val="0"/>
      <w:marTop w:val="0"/>
      <w:marBottom w:val="0"/>
      <w:divBdr>
        <w:top w:val="none" w:sz="0" w:space="0" w:color="auto"/>
        <w:left w:val="none" w:sz="0" w:space="0" w:color="auto"/>
        <w:bottom w:val="none" w:sz="0" w:space="0" w:color="auto"/>
        <w:right w:val="none" w:sz="0" w:space="0" w:color="auto"/>
      </w:divBdr>
    </w:div>
    <w:div w:id="340399266">
      <w:bodyDiv w:val="1"/>
      <w:marLeft w:val="0"/>
      <w:marRight w:val="0"/>
      <w:marTop w:val="0"/>
      <w:marBottom w:val="0"/>
      <w:divBdr>
        <w:top w:val="none" w:sz="0" w:space="0" w:color="auto"/>
        <w:left w:val="none" w:sz="0" w:space="0" w:color="auto"/>
        <w:bottom w:val="none" w:sz="0" w:space="0" w:color="auto"/>
        <w:right w:val="none" w:sz="0" w:space="0" w:color="auto"/>
      </w:divBdr>
    </w:div>
    <w:div w:id="369114715">
      <w:bodyDiv w:val="1"/>
      <w:marLeft w:val="0"/>
      <w:marRight w:val="0"/>
      <w:marTop w:val="0"/>
      <w:marBottom w:val="0"/>
      <w:divBdr>
        <w:top w:val="none" w:sz="0" w:space="0" w:color="auto"/>
        <w:left w:val="none" w:sz="0" w:space="0" w:color="auto"/>
        <w:bottom w:val="none" w:sz="0" w:space="0" w:color="auto"/>
        <w:right w:val="none" w:sz="0" w:space="0" w:color="auto"/>
      </w:divBdr>
      <w:divsChild>
        <w:div w:id="1890334557">
          <w:marLeft w:val="0"/>
          <w:marRight w:val="0"/>
          <w:marTop w:val="0"/>
          <w:marBottom w:val="0"/>
          <w:divBdr>
            <w:top w:val="none" w:sz="0" w:space="0" w:color="auto"/>
            <w:left w:val="none" w:sz="0" w:space="0" w:color="auto"/>
            <w:bottom w:val="none" w:sz="0" w:space="0" w:color="auto"/>
            <w:right w:val="none" w:sz="0" w:space="0" w:color="auto"/>
          </w:divBdr>
          <w:divsChild>
            <w:div w:id="118339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805264">
      <w:bodyDiv w:val="1"/>
      <w:marLeft w:val="0"/>
      <w:marRight w:val="0"/>
      <w:marTop w:val="0"/>
      <w:marBottom w:val="0"/>
      <w:divBdr>
        <w:top w:val="none" w:sz="0" w:space="0" w:color="auto"/>
        <w:left w:val="none" w:sz="0" w:space="0" w:color="auto"/>
        <w:bottom w:val="none" w:sz="0" w:space="0" w:color="auto"/>
        <w:right w:val="none" w:sz="0" w:space="0" w:color="auto"/>
      </w:divBdr>
    </w:div>
    <w:div w:id="397095870">
      <w:bodyDiv w:val="1"/>
      <w:marLeft w:val="0"/>
      <w:marRight w:val="0"/>
      <w:marTop w:val="0"/>
      <w:marBottom w:val="0"/>
      <w:divBdr>
        <w:top w:val="none" w:sz="0" w:space="0" w:color="auto"/>
        <w:left w:val="none" w:sz="0" w:space="0" w:color="auto"/>
        <w:bottom w:val="none" w:sz="0" w:space="0" w:color="auto"/>
        <w:right w:val="none" w:sz="0" w:space="0" w:color="auto"/>
      </w:divBdr>
    </w:div>
    <w:div w:id="415395877">
      <w:bodyDiv w:val="1"/>
      <w:marLeft w:val="0"/>
      <w:marRight w:val="0"/>
      <w:marTop w:val="0"/>
      <w:marBottom w:val="0"/>
      <w:divBdr>
        <w:top w:val="none" w:sz="0" w:space="0" w:color="auto"/>
        <w:left w:val="none" w:sz="0" w:space="0" w:color="auto"/>
        <w:bottom w:val="none" w:sz="0" w:space="0" w:color="auto"/>
        <w:right w:val="none" w:sz="0" w:space="0" w:color="auto"/>
      </w:divBdr>
    </w:div>
    <w:div w:id="425076799">
      <w:bodyDiv w:val="1"/>
      <w:marLeft w:val="0"/>
      <w:marRight w:val="0"/>
      <w:marTop w:val="0"/>
      <w:marBottom w:val="0"/>
      <w:divBdr>
        <w:top w:val="none" w:sz="0" w:space="0" w:color="auto"/>
        <w:left w:val="none" w:sz="0" w:space="0" w:color="auto"/>
        <w:bottom w:val="none" w:sz="0" w:space="0" w:color="auto"/>
        <w:right w:val="none" w:sz="0" w:space="0" w:color="auto"/>
      </w:divBdr>
    </w:div>
    <w:div w:id="433979736">
      <w:bodyDiv w:val="1"/>
      <w:marLeft w:val="0"/>
      <w:marRight w:val="0"/>
      <w:marTop w:val="0"/>
      <w:marBottom w:val="0"/>
      <w:divBdr>
        <w:top w:val="none" w:sz="0" w:space="0" w:color="auto"/>
        <w:left w:val="none" w:sz="0" w:space="0" w:color="auto"/>
        <w:bottom w:val="none" w:sz="0" w:space="0" w:color="auto"/>
        <w:right w:val="none" w:sz="0" w:space="0" w:color="auto"/>
      </w:divBdr>
    </w:div>
    <w:div w:id="452599151">
      <w:bodyDiv w:val="1"/>
      <w:marLeft w:val="0"/>
      <w:marRight w:val="0"/>
      <w:marTop w:val="0"/>
      <w:marBottom w:val="0"/>
      <w:divBdr>
        <w:top w:val="none" w:sz="0" w:space="0" w:color="auto"/>
        <w:left w:val="none" w:sz="0" w:space="0" w:color="auto"/>
        <w:bottom w:val="none" w:sz="0" w:space="0" w:color="auto"/>
        <w:right w:val="none" w:sz="0" w:space="0" w:color="auto"/>
      </w:divBdr>
    </w:div>
    <w:div w:id="485901789">
      <w:bodyDiv w:val="1"/>
      <w:marLeft w:val="0"/>
      <w:marRight w:val="0"/>
      <w:marTop w:val="0"/>
      <w:marBottom w:val="0"/>
      <w:divBdr>
        <w:top w:val="none" w:sz="0" w:space="0" w:color="auto"/>
        <w:left w:val="none" w:sz="0" w:space="0" w:color="auto"/>
        <w:bottom w:val="none" w:sz="0" w:space="0" w:color="auto"/>
        <w:right w:val="none" w:sz="0" w:space="0" w:color="auto"/>
      </w:divBdr>
    </w:div>
    <w:div w:id="504904736">
      <w:bodyDiv w:val="1"/>
      <w:marLeft w:val="0"/>
      <w:marRight w:val="0"/>
      <w:marTop w:val="0"/>
      <w:marBottom w:val="0"/>
      <w:divBdr>
        <w:top w:val="none" w:sz="0" w:space="0" w:color="auto"/>
        <w:left w:val="none" w:sz="0" w:space="0" w:color="auto"/>
        <w:bottom w:val="none" w:sz="0" w:space="0" w:color="auto"/>
        <w:right w:val="none" w:sz="0" w:space="0" w:color="auto"/>
      </w:divBdr>
    </w:div>
    <w:div w:id="548299814">
      <w:bodyDiv w:val="1"/>
      <w:marLeft w:val="0"/>
      <w:marRight w:val="0"/>
      <w:marTop w:val="0"/>
      <w:marBottom w:val="0"/>
      <w:divBdr>
        <w:top w:val="none" w:sz="0" w:space="0" w:color="auto"/>
        <w:left w:val="none" w:sz="0" w:space="0" w:color="auto"/>
        <w:bottom w:val="none" w:sz="0" w:space="0" w:color="auto"/>
        <w:right w:val="none" w:sz="0" w:space="0" w:color="auto"/>
      </w:divBdr>
    </w:div>
    <w:div w:id="593171441">
      <w:bodyDiv w:val="1"/>
      <w:marLeft w:val="0"/>
      <w:marRight w:val="0"/>
      <w:marTop w:val="0"/>
      <w:marBottom w:val="0"/>
      <w:divBdr>
        <w:top w:val="none" w:sz="0" w:space="0" w:color="auto"/>
        <w:left w:val="none" w:sz="0" w:space="0" w:color="auto"/>
        <w:bottom w:val="none" w:sz="0" w:space="0" w:color="auto"/>
        <w:right w:val="none" w:sz="0" w:space="0" w:color="auto"/>
      </w:divBdr>
    </w:div>
    <w:div w:id="602230233">
      <w:bodyDiv w:val="1"/>
      <w:marLeft w:val="0"/>
      <w:marRight w:val="0"/>
      <w:marTop w:val="0"/>
      <w:marBottom w:val="0"/>
      <w:divBdr>
        <w:top w:val="none" w:sz="0" w:space="0" w:color="auto"/>
        <w:left w:val="none" w:sz="0" w:space="0" w:color="auto"/>
        <w:bottom w:val="none" w:sz="0" w:space="0" w:color="auto"/>
        <w:right w:val="none" w:sz="0" w:space="0" w:color="auto"/>
      </w:divBdr>
    </w:div>
    <w:div w:id="634870264">
      <w:bodyDiv w:val="1"/>
      <w:marLeft w:val="0"/>
      <w:marRight w:val="0"/>
      <w:marTop w:val="0"/>
      <w:marBottom w:val="0"/>
      <w:divBdr>
        <w:top w:val="none" w:sz="0" w:space="0" w:color="auto"/>
        <w:left w:val="none" w:sz="0" w:space="0" w:color="auto"/>
        <w:bottom w:val="none" w:sz="0" w:space="0" w:color="auto"/>
        <w:right w:val="none" w:sz="0" w:space="0" w:color="auto"/>
      </w:divBdr>
    </w:div>
    <w:div w:id="672998804">
      <w:bodyDiv w:val="1"/>
      <w:marLeft w:val="0"/>
      <w:marRight w:val="0"/>
      <w:marTop w:val="0"/>
      <w:marBottom w:val="0"/>
      <w:divBdr>
        <w:top w:val="none" w:sz="0" w:space="0" w:color="auto"/>
        <w:left w:val="none" w:sz="0" w:space="0" w:color="auto"/>
        <w:bottom w:val="none" w:sz="0" w:space="0" w:color="auto"/>
        <w:right w:val="none" w:sz="0" w:space="0" w:color="auto"/>
      </w:divBdr>
    </w:div>
    <w:div w:id="675232422">
      <w:bodyDiv w:val="1"/>
      <w:marLeft w:val="0"/>
      <w:marRight w:val="0"/>
      <w:marTop w:val="0"/>
      <w:marBottom w:val="0"/>
      <w:divBdr>
        <w:top w:val="none" w:sz="0" w:space="0" w:color="auto"/>
        <w:left w:val="none" w:sz="0" w:space="0" w:color="auto"/>
        <w:bottom w:val="none" w:sz="0" w:space="0" w:color="auto"/>
        <w:right w:val="none" w:sz="0" w:space="0" w:color="auto"/>
      </w:divBdr>
      <w:divsChild>
        <w:div w:id="1797524815">
          <w:marLeft w:val="0"/>
          <w:marRight w:val="0"/>
          <w:marTop w:val="0"/>
          <w:marBottom w:val="0"/>
          <w:divBdr>
            <w:top w:val="none" w:sz="0" w:space="0" w:color="auto"/>
            <w:left w:val="none" w:sz="0" w:space="0" w:color="auto"/>
            <w:bottom w:val="none" w:sz="0" w:space="0" w:color="auto"/>
            <w:right w:val="none" w:sz="0" w:space="0" w:color="auto"/>
          </w:divBdr>
          <w:divsChild>
            <w:div w:id="104991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664893">
      <w:bodyDiv w:val="1"/>
      <w:marLeft w:val="0"/>
      <w:marRight w:val="0"/>
      <w:marTop w:val="0"/>
      <w:marBottom w:val="0"/>
      <w:divBdr>
        <w:top w:val="none" w:sz="0" w:space="0" w:color="auto"/>
        <w:left w:val="none" w:sz="0" w:space="0" w:color="auto"/>
        <w:bottom w:val="none" w:sz="0" w:space="0" w:color="auto"/>
        <w:right w:val="none" w:sz="0" w:space="0" w:color="auto"/>
      </w:divBdr>
    </w:div>
    <w:div w:id="688947187">
      <w:bodyDiv w:val="1"/>
      <w:marLeft w:val="0"/>
      <w:marRight w:val="0"/>
      <w:marTop w:val="0"/>
      <w:marBottom w:val="0"/>
      <w:divBdr>
        <w:top w:val="none" w:sz="0" w:space="0" w:color="auto"/>
        <w:left w:val="none" w:sz="0" w:space="0" w:color="auto"/>
        <w:bottom w:val="none" w:sz="0" w:space="0" w:color="auto"/>
        <w:right w:val="none" w:sz="0" w:space="0" w:color="auto"/>
      </w:divBdr>
    </w:div>
    <w:div w:id="690498924">
      <w:bodyDiv w:val="1"/>
      <w:marLeft w:val="0"/>
      <w:marRight w:val="0"/>
      <w:marTop w:val="0"/>
      <w:marBottom w:val="0"/>
      <w:divBdr>
        <w:top w:val="none" w:sz="0" w:space="0" w:color="auto"/>
        <w:left w:val="none" w:sz="0" w:space="0" w:color="auto"/>
        <w:bottom w:val="none" w:sz="0" w:space="0" w:color="auto"/>
        <w:right w:val="none" w:sz="0" w:space="0" w:color="auto"/>
      </w:divBdr>
      <w:divsChild>
        <w:div w:id="175123817">
          <w:marLeft w:val="0"/>
          <w:marRight w:val="0"/>
          <w:marTop w:val="0"/>
          <w:marBottom w:val="0"/>
          <w:divBdr>
            <w:top w:val="none" w:sz="0" w:space="0" w:color="auto"/>
            <w:left w:val="none" w:sz="0" w:space="0" w:color="auto"/>
            <w:bottom w:val="none" w:sz="0" w:space="0" w:color="auto"/>
            <w:right w:val="none" w:sz="0" w:space="0" w:color="auto"/>
          </w:divBdr>
          <w:divsChild>
            <w:div w:id="142773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15939">
      <w:bodyDiv w:val="1"/>
      <w:marLeft w:val="0"/>
      <w:marRight w:val="0"/>
      <w:marTop w:val="0"/>
      <w:marBottom w:val="0"/>
      <w:divBdr>
        <w:top w:val="none" w:sz="0" w:space="0" w:color="auto"/>
        <w:left w:val="none" w:sz="0" w:space="0" w:color="auto"/>
        <w:bottom w:val="none" w:sz="0" w:space="0" w:color="auto"/>
        <w:right w:val="none" w:sz="0" w:space="0" w:color="auto"/>
      </w:divBdr>
    </w:div>
    <w:div w:id="712265532">
      <w:bodyDiv w:val="1"/>
      <w:marLeft w:val="0"/>
      <w:marRight w:val="0"/>
      <w:marTop w:val="0"/>
      <w:marBottom w:val="0"/>
      <w:divBdr>
        <w:top w:val="none" w:sz="0" w:space="0" w:color="auto"/>
        <w:left w:val="none" w:sz="0" w:space="0" w:color="auto"/>
        <w:bottom w:val="none" w:sz="0" w:space="0" w:color="auto"/>
        <w:right w:val="none" w:sz="0" w:space="0" w:color="auto"/>
      </w:divBdr>
      <w:divsChild>
        <w:div w:id="2068068333">
          <w:marLeft w:val="0"/>
          <w:marRight w:val="0"/>
          <w:marTop w:val="0"/>
          <w:marBottom w:val="0"/>
          <w:divBdr>
            <w:top w:val="none" w:sz="0" w:space="0" w:color="auto"/>
            <w:left w:val="none" w:sz="0" w:space="0" w:color="auto"/>
            <w:bottom w:val="none" w:sz="0" w:space="0" w:color="auto"/>
            <w:right w:val="none" w:sz="0" w:space="0" w:color="auto"/>
          </w:divBdr>
          <w:divsChild>
            <w:div w:id="1400710730">
              <w:marLeft w:val="0"/>
              <w:marRight w:val="0"/>
              <w:marTop w:val="0"/>
              <w:marBottom w:val="0"/>
              <w:divBdr>
                <w:top w:val="none" w:sz="0" w:space="0" w:color="auto"/>
                <w:left w:val="none" w:sz="0" w:space="0" w:color="auto"/>
                <w:bottom w:val="none" w:sz="0" w:space="0" w:color="auto"/>
                <w:right w:val="none" w:sz="0" w:space="0" w:color="auto"/>
              </w:divBdr>
              <w:divsChild>
                <w:div w:id="1827939619">
                  <w:marLeft w:val="0"/>
                  <w:marRight w:val="0"/>
                  <w:marTop w:val="0"/>
                  <w:marBottom w:val="0"/>
                  <w:divBdr>
                    <w:top w:val="none" w:sz="0" w:space="0" w:color="auto"/>
                    <w:left w:val="none" w:sz="0" w:space="0" w:color="auto"/>
                    <w:bottom w:val="none" w:sz="0" w:space="0" w:color="auto"/>
                    <w:right w:val="none" w:sz="0" w:space="0" w:color="auto"/>
                  </w:divBdr>
                  <w:divsChild>
                    <w:div w:id="1332684972">
                      <w:marLeft w:val="0"/>
                      <w:marRight w:val="0"/>
                      <w:marTop w:val="0"/>
                      <w:marBottom w:val="0"/>
                      <w:divBdr>
                        <w:top w:val="none" w:sz="0" w:space="0" w:color="auto"/>
                        <w:left w:val="none" w:sz="0" w:space="0" w:color="auto"/>
                        <w:bottom w:val="none" w:sz="0" w:space="0" w:color="auto"/>
                        <w:right w:val="none" w:sz="0" w:space="0" w:color="auto"/>
                      </w:divBdr>
                      <w:divsChild>
                        <w:div w:id="476568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761756762">
      <w:bodyDiv w:val="1"/>
      <w:marLeft w:val="0"/>
      <w:marRight w:val="0"/>
      <w:marTop w:val="0"/>
      <w:marBottom w:val="0"/>
      <w:divBdr>
        <w:top w:val="none" w:sz="0" w:space="0" w:color="auto"/>
        <w:left w:val="none" w:sz="0" w:space="0" w:color="auto"/>
        <w:bottom w:val="none" w:sz="0" w:space="0" w:color="auto"/>
        <w:right w:val="none" w:sz="0" w:space="0" w:color="auto"/>
      </w:divBdr>
    </w:div>
    <w:div w:id="794056633">
      <w:bodyDiv w:val="1"/>
      <w:marLeft w:val="0"/>
      <w:marRight w:val="0"/>
      <w:marTop w:val="0"/>
      <w:marBottom w:val="0"/>
      <w:divBdr>
        <w:top w:val="none" w:sz="0" w:space="0" w:color="auto"/>
        <w:left w:val="none" w:sz="0" w:space="0" w:color="auto"/>
        <w:bottom w:val="none" w:sz="0" w:space="0" w:color="auto"/>
        <w:right w:val="none" w:sz="0" w:space="0" w:color="auto"/>
      </w:divBdr>
    </w:div>
    <w:div w:id="805898104">
      <w:bodyDiv w:val="1"/>
      <w:marLeft w:val="0"/>
      <w:marRight w:val="0"/>
      <w:marTop w:val="0"/>
      <w:marBottom w:val="0"/>
      <w:divBdr>
        <w:top w:val="none" w:sz="0" w:space="0" w:color="auto"/>
        <w:left w:val="none" w:sz="0" w:space="0" w:color="auto"/>
        <w:bottom w:val="none" w:sz="0" w:space="0" w:color="auto"/>
        <w:right w:val="none" w:sz="0" w:space="0" w:color="auto"/>
      </w:divBdr>
    </w:div>
    <w:div w:id="819425600">
      <w:bodyDiv w:val="1"/>
      <w:marLeft w:val="0"/>
      <w:marRight w:val="0"/>
      <w:marTop w:val="0"/>
      <w:marBottom w:val="0"/>
      <w:divBdr>
        <w:top w:val="none" w:sz="0" w:space="0" w:color="auto"/>
        <w:left w:val="none" w:sz="0" w:space="0" w:color="auto"/>
        <w:bottom w:val="none" w:sz="0" w:space="0" w:color="auto"/>
        <w:right w:val="none" w:sz="0" w:space="0" w:color="auto"/>
      </w:divBdr>
    </w:div>
    <w:div w:id="828180533">
      <w:bodyDiv w:val="1"/>
      <w:marLeft w:val="0"/>
      <w:marRight w:val="0"/>
      <w:marTop w:val="0"/>
      <w:marBottom w:val="0"/>
      <w:divBdr>
        <w:top w:val="none" w:sz="0" w:space="0" w:color="auto"/>
        <w:left w:val="none" w:sz="0" w:space="0" w:color="auto"/>
        <w:bottom w:val="none" w:sz="0" w:space="0" w:color="auto"/>
        <w:right w:val="none" w:sz="0" w:space="0" w:color="auto"/>
      </w:divBdr>
    </w:div>
    <w:div w:id="840631858">
      <w:bodyDiv w:val="1"/>
      <w:marLeft w:val="0"/>
      <w:marRight w:val="0"/>
      <w:marTop w:val="0"/>
      <w:marBottom w:val="0"/>
      <w:divBdr>
        <w:top w:val="none" w:sz="0" w:space="0" w:color="auto"/>
        <w:left w:val="none" w:sz="0" w:space="0" w:color="auto"/>
        <w:bottom w:val="none" w:sz="0" w:space="0" w:color="auto"/>
        <w:right w:val="none" w:sz="0" w:space="0" w:color="auto"/>
      </w:divBdr>
    </w:div>
    <w:div w:id="842669483">
      <w:bodyDiv w:val="1"/>
      <w:marLeft w:val="0"/>
      <w:marRight w:val="0"/>
      <w:marTop w:val="0"/>
      <w:marBottom w:val="0"/>
      <w:divBdr>
        <w:top w:val="none" w:sz="0" w:space="0" w:color="auto"/>
        <w:left w:val="none" w:sz="0" w:space="0" w:color="auto"/>
        <w:bottom w:val="none" w:sz="0" w:space="0" w:color="auto"/>
        <w:right w:val="none" w:sz="0" w:space="0" w:color="auto"/>
      </w:divBdr>
    </w:div>
    <w:div w:id="850266271">
      <w:bodyDiv w:val="1"/>
      <w:marLeft w:val="0"/>
      <w:marRight w:val="0"/>
      <w:marTop w:val="0"/>
      <w:marBottom w:val="0"/>
      <w:divBdr>
        <w:top w:val="none" w:sz="0" w:space="0" w:color="auto"/>
        <w:left w:val="none" w:sz="0" w:space="0" w:color="auto"/>
        <w:bottom w:val="none" w:sz="0" w:space="0" w:color="auto"/>
        <w:right w:val="none" w:sz="0" w:space="0" w:color="auto"/>
      </w:divBdr>
    </w:div>
    <w:div w:id="861479640">
      <w:bodyDiv w:val="1"/>
      <w:marLeft w:val="0"/>
      <w:marRight w:val="0"/>
      <w:marTop w:val="0"/>
      <w:marBottom w:val="0"/>
      <w:divBdr>
        <w:top w:val="none" w:sz="0" w:space="0" w:color="auto"/>
        <w:left w:val="none" w:sz="0" w:space="0" w:color="auto"/>
        <w:bottom w:val="none" w:sz="0" w:space="0" w:color="auto"/>
        <w:right w:val="none" w:sz="0" w:space="0" w:color="auto"/>
      </w:divBdr>
    </w:div>
    <w:div w:id="902639317">
      <w:bodyDiv w:val="1"/>
      <w:marLeft w:val="0"/>
      <w:marRight w:val="0"/>
      <w:marTop w:val="0"/>
      <w:marBottom w:val="0"/>
      <w:divBdr>
        <w:top w:val="none" w:sz="0" w:space="0" w:color="auto"/>
        <w:left w:val="none" w:sz="0" w:space="0" w:color="auto"/>
        <w:bottom w:val="none" w:sz="0" w:space="0" w:color="auto"/>
        <w:right w:val="none" w:sz="0" w:space="0" w:color="auto"/>
      </w:divBdr>
    </w:div>
    <w:div w:id="908803025">
      <w:bodyDiv w:val="1"/>
      <w:marLeft w:val="0"/>
      <w:marRight w:val="0"/>
      <w:marTop w:val="0"/>
      <w:marBottom w:val="0"/>
      <w:divBdr>
        <w:top w:val="none" w:sz="0" w:space="0" w:color="auto"/>
        <w:left w:val="none" w:sz="0" w:space="0" w:color="auto"/>
        <w:bottom w:val="none" w:sz="0" w:space="0" w:color="auto"/>
        <w:right w:val="none" w:sz="0" w:space="0" w:color="auto"/>
      </w:divBdr>
    </w:div>
    <w:div w:id="924654530">
      <w:bodyDiv w:val="1"/>
      <w:marLeft w:val="0"/>
      <w:marRight w:val="0"/>
      <w:marTop w:val="0"/>
      <w:marBottom w:val="0"/>
      <w:divBdr>
        <w:top w:val="none" w:sz="0" w:space="0" w:color="auto"/>
        <w:left w:val="none" w:sz="0" w:space="0" w:color="auto"/>
        <w:bottom w:val="none" w:sz="0" w:space="0" w:color="auto"/>
        <w:right w:val="none" w:sz="0" w:space="0" w:color="auto"/>
      </w:divBdr>
      <w:divsChild>
        <w:div w:id="1265844970">
          <w:marLeft w:val="274"/>
          <w:marRight w:val="0"/>
          <w:marTop w:val="0"/>
          <w:marBottom w:val="0"/>
          <w:divBdr>
            <w:top w:val="none" w:sz="0" w:space="0" w:color="auto"/>
            <w:left w:val="none" w:sz="0" w:space="0" w:color="auto"/>
            <w:bottom w:val="none" w:sz="0" w:space="0" w:color="auto"/>
            <w:right w:val="none" w:sz="0" w:space="0" w:color="auto"/>
          </w:divBdr>
        </w:div>
        <w:div w:id="1833789613">
          <w:marLeft w:val="274"/>
          <w:marRight w:val="0"/>
          <w:marTop w:val="0"/>
          <w:marBottom w:val="0"/>
          <w:divBdr>
            <w:top w:val="none" w:sz="0" w:space="0" w:color="auto"/>
            <w:left w:val="none" w:sz="0" w:space="0" w:color="auto"/>
            <w:bottom w:val="none" w:sz="0" w:space="0" w:color="auto"/>
            <w:right w:val="none" w:sz="0" w:space="0" w:color="auto"/>
          </w:divBdr>
        </w:div>
        <w:div w:id="2058120658">
          <w:marLeft w:val="274"/>
          <w:marRight w:val="0"/>
          <w:marTop w:val="0"/>
          <w:marBottom w:val="0"/>
          <w:divBdr>
            <w:top w:val="none" w:sz="0" w:space="0" w:color="auto"/>
            <w:left w:val="none" w:sz="0" w:space="0" w:color="auto"/>
            <w:bottom w:val="none" w:sz="0" w:space="0" w:color="auto"/>
            <w:right w:val="none" w:sz="0" w:space="0" w:color="auto"/>
          </w:divBdr>
        </w:div>
      </w:divsChild>
    </w:div>
    <w:div w:id="929973457">
      <w:bodyDiv w:val="1"/>
      <w:marLeft w:val="0"/>
      <w:marRight w:val="0"/>
      <w:marTop w:val="0"/>
      <w:marBottom w:val="0"/>
      <w:divBdr>
        <w:top w:val="none" w:sz="0" w:space="0" w:color="auto"/>
        <w:left w:val="none" w:sz="0" w:space="0" w:color="auto"/>
        <w:bottom w:val="none" w:sz="0" w:space="0" w:color="auto"/>
        <w:right w:val="none" w:sz="0" w:space="0" w:color="auto"/>
      </w:divBdr>
    </w:div>
    <w:div w:id="962005152">
      <w:bodyDiv w:val="1"/>
      <w:marLeft w:val="0"/>
      <w:marRight w:val="0"/>
      <w:marTop w:val="0"/>
      <w:marBottom w:val="0"/>
      <w:divBdr>
        <w:top w:val="none" w:sz="0" w:space="0" w:color="auto"/>
        <w:left w:val="none" w:sz="0" w:space="0" w:color="auto"/>
        <w:bottom w:val="none" w:sz="0" w:space="0" w:color="auto"/>
        <w:right w:val="none" w:sz="0" w:space="0" w:color="auto"/>
      </w:divBdr>
    </w:div>
    <w:div w:id="973025611">
      <w:bodyDiv w:val="1"/>
      <w:marLeft w:val="0"/>
      <w:marRight w:val="0"/>
      <w:marTop w:val="0"/>
      <w:marBottom w:val="0"/>
      <w:divBdr>
        <w:top w:val="none" w:sz="0" w:space="0" w:color="auto"/>
        <w:left w:val="none" w:sz="0" w:space="0" w:color="auto"/>
        <w:bottom w:val="none" w:sz="0" w:space="0" w:color="auto"/>
        <w:right w:val="none" w:sz="0" w:space="0" w:color="auto"/>
      </w:divBdr>
    </w:div>
    <w:div w:id="988748762">
      <w:bodyDiv w:val="1"/>
      <w:marLeft w:val="0"/>
      <w:marRight w:val="0"/>
      <w:marTop w:val="0"/>
      <w:marBottom w:val="0"/>
      <w:divBdr>
        <w:top w:val="none" w:sz="0" w:space="0" w:color="auto"/>
        <w:left w:val="none" w:sz="0" w:space="0" w:color="auto"/>
        <w:bottom w:val="none" w:sz="0" w:space="0" w:color="auto"/>
        <w:right w:val="none" w:sz="0" w:space="0" w:color="auto"/>
      </w:divBdr>
      <w:divsChild>
        <w:div w:id="495147806">
          <w:marLeft w:val="0"/>
          <w:marRight w:val="0"/>
          <w:marTop w:val="0"/>
          <w:marBottom w:val="0"/>
          <w:divBdr>
            <w:top w:val="none" w:sz="0" w:space="0" w:color="auto"/>
            <w:left w:val="none" w:sz="0" w:space="0" w:color="auto"/>
            <w:bottom w:val="none" w:sz="0" w:space="0" w:color="auto"/>
            <w:right w:val="none" w:sz="0" w:space="0" w:color="auto"/>
          </w:divBdr>
          <w:divsChild>
            <w:div w:id="8617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89351">
      <w:bodyDiv w:val="1"/>
      <w:marLeft w:val="0"/>
      <w:marRight w:val="0"/>
      <w:marTop w:val="0"/>
      <w:marBottom w:val="0"/>
      <w:divBdr>
        <w:top w:val="none" w:sz="0" w:space="0" w:color="auto"/>
        <w:left w:val="none" w:sz="0" w:space="0" w:color="auto"/>
        <w:bottom w:val="none" w:sz="0" w:space="0" w:color="auto"/>
        <w:right w:val="none" w:sz="0" w:space="0" w:color="auto"/>
      </w:divBdr>
      <w:divsChild>
        <w:div w:id="238708405">
          <w:marLeft w:val="274"/>
          <w:marRight w:val="0"/>
          <w:marTop w:val="0"/>
          <w:marBottom w:val="0"/>
          <w:divBdr>
            <w:top w:val="none" w:sz="0" w:space="0" w:color="auto"/>
            <w:left w:val="none" w:sz="0" w:space="0" w:color="auto"/>
            <w:bottom w:val="none" w:sz="0" w:space="0" w:color="auto"/>
            <w:right w:val="none" w:sz="0" w:space="0" w:color="auto"/>
          </w:divBdr>
        </w:div>
        <w:div w:id="854224288">
          <w:marLeft w:val="274"/>
          <w:marRight w:val="0"/>
          <w:marTop w:val="0"/>
          <w:marBottom w:val="0"/>
          <w:divBdr>
            <w:top w:val="none" w:sz="0" w:space="0" w:color="auto"/>
            <w:left w:val="none" w:sz="0" w:space="0" w:color="auto"/>
            <w:bottom w:val="none" w:sz="0" w:space="0" w:color="auto"/>
            <w:right w:val="none" w:sz="0" w:space="0" w:color="auto"/>
          </w:divBdr>
        </w:div>
        <w:div w:id="2087216305">
          <w:marLeft w:val="274"/>
          <w:marRight w:val="0"/>
          <w:marTop w:val="0"/>
          <w:marBottom w:val="0"/>
          <w:divBdr>
            <w:top w:val="none" w:sz="0" w:space="0" w:color="auto"/>
            <w:left w:val="none" w:sz="0" w:space="0" w:color="auto"/>
            <w:bottom w:val="none" w:sz="0" w:space="0" w:color="auto"/>
            <w:right w:val="none" w:sz="0" w:space="0" w:color="auto"/>
          </w:divBdr>
        </w:div>
      </w:divsChild>
    </w:div>
    <w:div w:id="1008405969">
      <w:bodyDiv w:val="1"/>
      <w:marLeft w:val="0"/>
      <w:marRight w:val="0"/>
      <w:marTop w:val="0"/>
      <w:marBottom w:val="0"/>
      <w:divBdr>
        <w:top w:val="none" w:sz="0" w:space="0" w:color="auto"/>
        <w:left w:val="none" w:sz="0" w:space="0" w:color="auto"/>
        <w:bottom w:val="none" w:sz="0" w:space="0" w:color="auto"/>
        <w:right w:val="none" w:sz="0" w:space="0" w:color="auto"/>
      </w:divBdr>
    </w:div>
    <w:div w:id="1024407294">
      <w:bodyDiv w:val="1"/>
      <w:marLeft w:val="0"/>
      <w:marRight w:val="0"/>
      <w:marTop w:val="0"/>
      <w:marBottom w:val="0"/>
      <w:divBdr>
        <w:top w:val="none" w:sz="0" w:space="0" w:color="auto"/>
        <w:left w:val="none" w:sz="0" w:space="0" w:color="auto"/>
        <w:bottom w:val="none" w:sz="0" w:space="0" w:color="auto"/>
        <w:right w:val="none" w:sz="0" w:space="0" w:color="auto"/>
      </w:divBdr>
    </w:div>
    <w:div w:id="1039816298">
      <w:bodyDiv w:val="1"/>
      <w:marLeft w:val="0"/>
      <w:marRight w:val="0"/>
      <w:marTop w:val="0"/>
      <w:marBottom w:val="0"/>
      <w:divBdr>
        <w:top w:val="none" w:sz="0" w:space="0" w:color="auto"/>
        <w:left w:val="none" w:sz="0" w:space="0" w:color="auto"/>
        <w:bottom w:val="none" w:sz="0" w:space="0" w:color="auto"/>
        <w:right w:val="none" w:sz="0" w:space="0" w:color="auto"/>
      </w:divBdr>
    </w:div>
    <w:div w:id="1045759776">
      <w:bodyDiv w:val="1"/>
      <w:marLeft w:val="0"/>
      <w:marRight w:val="0"/>
      <w:marTop w:val="0"/>
      <w:marBottom w:val="0"/>
      <w:divBdr>
        <w:top w:val="none" w:sz="0" w:space="0" w:color="auto"/>
        <w:left w:val="none" w:sz="0" w:space="0" w:color="auto"/>
        <w:bottom w:val="none" w:sz="0" w:space="0" w:color="auto"/>
        <w:right w:val="none" w:sz="0" w:space="0" w:color="auto"/>
      </w:divBdr>
    </w:div>
    <w:div w:id="1053850177">
      <w:bodyDiv w:val="1"/>
      <w:marLeft w:val="0"/>
      <w:marRight w:val="0"/>
      <w:marTop w:val="0"/>
      <w:marBottom w:val="0"/>
      <w:divBdr>
        <w:top w:val="none" w:sz="0" w:space="0" w:color="auto"/>
        <w:left w:val="none" w:sz="0" w:space="0" w:color="auto"/>
        <w:bottom w:val="none" w:sz="0" w:space="0" w:color="auto"/>
        <w:right w:val="none" w:sz="0" w:space="0" w:color="auto"/>
      </w:divBdr>
    </w:div>
    <w:div w:id="1069232519">
      <w:bodyDiv w:val="1"/>
      <w:marLeft w:val="0"/>
      <w:marRight w:val="0"/>
      <w:marTop w:val="0"/>
      <w:marBottom w:val="0"/>
      <w:divBdr>
        <w:top w:val="none" w:sz="0" w:space="0" w:color="auto"/>
        <w:left w:val="none" w:sz="0" w:space="0" w:color="auto"/>
        <w:bottom w:val="none" w:sz="0" w:space="0" w:color="auto"/>
        <w:right w:val="none" w:sz="0" w:space="0" w:color="auto"/>
      </w:divBdr>
    </w:div>
    <w:div w:id="1106653008">
      <w:bodyDiv w:val="1"/>
      <w:marLeft w:val="0"/>
      <w:marRight w:val="0"/>
      <w:marTop w:val="0"/>
      <w:marBottom w:val="0"/>
      <w:divBdr>
        <w:top w:val="none" w:sz="0" w:space="0" w:color="auto"/>
        <w:left w:val="none" w:sz="0" w:space="0" w:color="auto"/>
        <w:bottom w:val="none" w:sz="0" w:space="0" w:color="auto"/>
        <w:right w:val="none" w:sz="0" w:space="0" w:color="auto"/>
      </w:divBdr>
    </w:div>
    <w:div w:id="1106851309">
      <w:bodyDiv w:val="1"/>
      <w:marLeft w:val="0"/>
      <w:marRight w:val="0"/>
      <w:marTop w:val="0"/>
      <w:marBottom w:val="0"/>
      <w:divBdr>
        <w:top w:val="none" w:sz="0" w:space="0" w:color="auto"/>
        <w:left w:val="none" w:sz="0" w:space="0" w:color="auto"/>
        <w:bottom w:val="none" w:sz="0" w:space="0" w:color="auto"/>
        <w:right w:val="none" w:sz="0" w:space="0" w:color="auto"/>
      </w:divBdr>
    </w:div>
    <w:div w:id="1108744547">
      <w:bodyDiv w:val="1"/>
      <w:marLeft w:val="0"/>
      <w:marRight w:val="0"/>
      <w:marTop w:val="0"/>
      <w:marBottom w:val="0"/>
      <w:divBdr>
        <w:top w:val="none" w:sz="0" w:space="0" w:color="auto"/>
        <w:left w:val="none" w:sz="0" w:space="0" w:color="auto"/>
        <w:bottom w:val="none" w:sz="0" w:space="0" w:color="auto"/>
        <w:right w:val="none" w:sz="0" w:space="0" w:color="auto"/>
      </w:divBdr>
    </w:div>
    <w:div w:id="1140079445">
      <w:bodyDiv w:val="1"/>
      <w:marLeft w:val="0"/>
      <w:marRight w:val="0"/>
      <w:marTop w:val="0"/>
      <w:marBottom w:val="0"/>
      <w:divBdr>
        <w:top w:val="none" w:sz="0" w:space="0" w:color="auto"/>
        <w:left w:val="none" w:sz="0" w:space="0" w:color="auto"/>
        <w:bottom w:val="none" w:sz="0" w:space="0" w:color="auto"/>
        <w:right w:val="none" w:sz="0" w:space="0" w:color="auto"/>
      </w:divBdr>
    </w:div>
    <w:div w:id="1224487354">
      <w:bodyDiv w:val="1"/>
      <w:marLeft w:val="0"/>
      <w:marRight w:val="0"/>
      <w:marTop w:val="0"/>
      <w:marBottom w:val="0"/>
      <w:divBdr>
        <w:top w:val="none" w:sz="0" w:space="0" w:color="auto"/>
        <w:left w:val="none" w:sz="0" w:space="0" w:color="auto"/>
        <w:bottom w:val="none" w:sz="0" w:space="0" w:color="auto"/>
        <w:right w:val="none" w:sz="0" w:space="0" w:color="auto"/>
      </w:divBdr>
    </w:div>
    <w:div w:id="1224950453">
      <w:bodyDiv w:val="1"/>
      <w:marLeft w:val="0"/>
      <w:marRight w:val="0"/>
      <w:marTop w:val="0"/>
      <w:marBottom w:val="0"/>
      <w:divBdr>
        <w:top w:val="none" w:sz="0" w:space="0" w:color="auto"/>
        <w:left w:val="none" w:sz="0" w:space="0" w:color="auto"/>
        <w:bottom w:val="none" w:sz="0" w:space="0" w:color="auto"/>
        <w:right w:val="none" w:sz="0" w:space="0" w:color="auto"/>
      </w:divBdr>
    </w:div>
    <w:div w:id="1229530855">
      <w:bodyDiv w:val="1"/>
      <w:marLeft w:val="0"/>
      <w:marRight w:val="0"/>
      <w:marTop w:val="0"/>
      <w:marBottom w:val="0"/>
      <w:divBdr>
        <w:top w:val="none" w:sz="0" w:space="0" w:color="auto"/>
        <w:left w:val="none" w:sz="0" w:space="0" w:color="auto"/>
        <w:bottom w:val="none" w:sz="0" w:space="0" w:color="auto"/>
        <w:right w:val="none" w:sz="0" w:space="0" w:color="auto"/>
      </w:divBdr>
    </w:div>
    <w:div w:id="1263222233">
      <w:bodyDiv w:val="1"/>
      <w:marLeft w:val="0"/>
      <w:marRight w:val="0"/>
      <w:marTop w:val="0"/>
      <w:marBottom w:val="0"/>
      <w:divBdr>
        <w:top w:val="none" w:sz="0" w:space="0" w:color="auto"/>
        <w:left w:val="none" w:sz="0" w:space="0" w:color="auto"/>
        <w:bottom w:val="none" w:sz="0" w:space="0" w:color="auto"/>
        <w:right w:val="none" w:sz="0" w:space="0" w:color="auto"/>
      </w:divBdr>
    </w:div>
    <w:div w:id="1263949644">
      <w:bodyDiv w:val="1"/>
      <w:marLeft w:val="0"/>
      <w:marRight w:val="0"/>
      <w:marTop w:val="0"/>
      <w:marBottom w:val="0"/>
      <w:divBdr>
        <w:top w:val="none" w:sz="0" w:space="0" w:color="auto"/>
        <w:left w:val="none" w:sz="0" w:space="0" w:color="auto"/>
        <w:bottom w:val="none" w:sz="0" w:space="0" w:color="auto"/>
        <w:right w:val="none" w:sz="0" w:space="0" w:color="auto"/>
      </w:divBdr>
    </w:div>
    <w:div w:id="1265114835">
      <w:bodyDiv w:val="1"/>
      <w:marLeft w:val="0"/>
      <w:marRight w:val="0"/>
      <w:marTop w:val="0"/>
      <w:marBottom w:val="0"/>
      <w:divBdr>
        <w:top w:val="none" w:sz="0" w:space="0" w:color="auto"/>
        <w:left w:val="none" w:sz="0" w:space="0" w:color="auto"/>
        <w:bottom w:val="none" w:sz="0" w:space="0" w:color="auto"/>
        <w:right w:val="none" w:sz="0" w:space="0" w:color="auto"/>
      </w:divBdr>
    </w:div>
    <w:div w:id="1287272624">
      <w:bodyDiv w:val="1"/>
      <w:marLeft w:val="0"/>
      <w:marRight w:val="0"/>
      <w:marTop w:val="0"/>
      <w:marBottom w:val="0"/>
      <w:divBdr>
        <w:top w:val="none" w:sz="0" w:space="0" w:color="auto"/>
        <w:left w:val="none" w:sz="0" w:space="0" w:color="auto"/>
        <w:bottom w:val="none" w:sz="0" w:space="0" w:color="auto"/>
        <w:right w:val="none" w:sz="0" w:space="0" w:color="auto"/>
      </w:divBdr>
    </w:div>
    <w:div w:id="1289118281">
      <w:bodyDiv w:val="1"/>
      <w:marLeft w:val="0"/>
      <w:marRight w:val="0"/>
      <w:marTop w:val="0"/>
      <w:marBottom w:val="0"/>
      <w:divBdr>
        <w:top w:val="none" w:sz="0" w:space="0" w:color="auto"/>
        <w:left w:val="none" w:sz="0" w:space="0" w:color="auto"/>
        <w:bottom w:val="none" w:sz="0" w:space="0" w:color="auto"/>
        <w:right w:val="none" w:sz="0" w:space="0" w:color="auto"/>
      </w:divBdr>
    </w:div>
    <w:div w:id="1298759270">
      <w:bodyDiv w:val="1"/>
      <w:marLeft w:val="0"/>
      <w:marRight w:val="0"/>
      <w:marTop w:val="0"/>
      <w:marBottom w:val="0"/>
      <w:divBdr>
        <w:top w:val="none" w:sz="0" w:space="0" w:color="auto"/>
        <w:left w:val="none" w:sz="0" w:space="0" w:color="auto"/>
        <w:bottom w:val="none" w:sz="0" w:space="0" w:color="auto"/>
        <w:right w:val="none" w:sz="0" w:space="0" w:color="auto"/>
      </w:divBdr>
    </w:div>
    <w:div w:id="1299067044">
      <w:bodyDiv w:val="1"/>
      <w:marLeft w:val="0"/>
      <w:marRight w:val="0"/>
      <w:marTop w:val="0"/>
      <w:marBottom w:val="0"/>
      <w:divBdr>
        <w:top w:val="none" w:sz="0" w:space="0" w:color="auto"/>
        <w:left w:val="none" w:sz="0" w:space="0" w:color="auto"/>
        <w:bottom w:val="none" w:sz="0" w:space="0" w:color="auto"/>
        <w:right w:val="none" w:sz="0" w:space="0" w:color="auto"/>
      </w:divBdr>
    </w:div>
    <w:div w:id="1310020136">
      <w:bodyDiv w:val="1"/>
      <w:marLeft w:val="0"/>
      <w:marRight w:val="0"/>
      <w:marTop w:val="0"/>
      <w:marBottom w:val="0"/>
      <w:divBdr>
        <w:top w:val="none" w:sz="0" w:space="0" w:color="auto"/>
        <w:left w:val="none" w:sz="0" w:space="0" w:color="auto"/>
        <w:bottom w:val="none" w:sz="0" w:space="0" w:color="auto"/>
        <w:right w:val="none" w:sz="0" w:space="0" w:color="auto"/>
      </w:divBdr>
    </w:div>
    <w:div w:id="1325859543">
      <w:bodyDiv w:val="1"/>
      <w:marLeft w:val="0"/>
      <w:marRight w:val="0"/>
      <w:marTop w:val="0"/>
      <w:marBottom w:val="0"/>
      <w:divBdr>
        <w:top w:val="none" w:sz="0" w:space="0" w:color="auto"/>
        <w:left w:val="none" w:sz="0" w:space="0" w:color="auto"/>
        <w:bottom w:val="none" w:sz="0" w:space="0" w:color="auto"/>
        <w:right w:val="none" w:sz="0" w:space="0" w:color="auto"/>
      </w:divBdr>
    </w:div>
    <w:div w:id="1336498749">
      <w:bodyDiv w:val="1"/>
      <w:marLeft w:val="0"/>
      <w:marRight w:val="0"/>
      <w:marTop w:val="0"/>
      <w:marBottom w:val="0"/>
      <w:divBdr>
        <w:top w:val="none" w:sz="0" w:space="0" w:color="auto"/>
        <w:left w:val="none" w:sz="0" w:space="0" w:color="auto"/>
        <w:bottom w:val="none" w:sz="0" w:space="0" w:color="auto"/>
        <w:right w:val="none" w:sz="0" w:space="0" w:color="auto"/>
      </w:divBdr>
    </w:div>
    <w:div w:id="1346444829">
      <w:bodyDiv w:val="1"/>
      <w:marLeft w:val="0"/>
      <w:marRight w:val="0"/>
      <w:marTop w:val="0"/>
      <w:marBottom w:val="0"/>
      <w:divBdr>
        <w:top w:val="none" w:sz="0" w:space="0" w:color="auto"/>
        <w:left w:val="none" w:sz="0" w:space="0" w:color="auto"/>
        <w:bottom w:val="none" w:sz="0" w:space="0" w:color="auto"/>
        <w:right w:val="none" w:sz="0" w:space="0" w:color="auto"/>
      </w:divBdr>
    </w:div>
    <w:div w:id="1369715858">
      <w:bodyDiv w:val="1"/>
      <w:marLeft w:val="0"/>
      <w:marRight w:val="0"/>
      <w:marTop w:val="0"/>
      <w:marBottom w:val="0"/>
      <w:divBdr>
        <w:top w:val="none" w:sz="0" w:space="0" w:color="auto"/>
        <w:left w:val="none" w:sz="0" w:space="0" w:color="auto"/>
        <w:bottom w:val="none" w:sz="0" w:space="0" w:color="auto"/>
        <w:right w:val="none" w:sz="0" w:space="0" w:color="auto"/>
      </w:divBdr>
    </w:div>
    <w:div w:id="1435712187">
      <w:bodyDiv w:val="1"/>
      <w:marLeft w:val="0"/>
      <w:marRight w:val="0"/>
      <w:marTop w:val="0"/>
      <w:marBottom w:val="0"/>
      <w:divBdr>
        <w:top w:val="none" w:sz="0" w:space="0" w:color="auto"/>
        <w:left w:val="none" w:sz="0" w:space="0" w:color="auto"/>
        <w:bottom w:val="none" w:sz="0" w:space="0" w:color="auto"/>
        <w:right w:val="none" w:sz="0" w:space="0" w:color="auto"/>
      </w:divBdr>
    </w:div>
    <w:div w:id="1446121099">
      <w:bodyDiv w:val="1"/>
      <w:marLeft w:val="0"/>
      <w:marRight w:val="0"/>
      <w:marTop w:val="0"/>
      <w:marBottom w:val="0"/>
      <w:divBdr>
        <w:top w:val="none" w:sz="0" w:space="0" w:color="auto"/>
        <w:left w:val="none" w:sz="0" w:space="0" w:color="auto"/>
        <w:bottom w:val="none" w:sz="0" w:space="0" w:color="auto"/>
        <w:right w:val="none" w:sz="0" w:space="0" w:color="auto"/>
      </w:divBdr>
    </w:div>
    <w:div w:id="1458065209">
      <w:bodyDiv w:val="1"/>
      <w:marLeft w:val="0"/>
      <w:marRight w:val="0"/>
      <w:marTop w:val="0"/>
      <w:marBottom w:val="0"/>
      <w:divBdr>
        <w:top w:val="none" w:sz="0" w:space="0" w:color="auto"/>
        <w:left w:val="none" w:sz="0" w:space="0" w:color="auto"/>
        <w:bottom w:val="none" w:sz="0" w:space="0" w:color="auto"/>
        <w:right w:val="none" w:sz="0" w:space="0" w:color="auto"/>
      </w:divBdr>
    </w:div>
    <w:div w:id="1475099107">
      <w:bodyDiv w:val="1"/>
      <w:marLeft w:val="0"/>
      <w:marRight w:val="0"/>
      <w:marTop w:val="0"/>
      <w:marBottom w:val="0"/>
      <w:divBdr>
        <w:top w:val="none" w:sz="0" w:space="0" w:color="auto"/>
        <w:left w:val="none" w:sz="0" w:space="0" w:color="auto"/>
        <w:bottom w:val="none" w:sz="0" w:space="0" w:color="auto"/>
        <w:right w:val="none" w:sz="0" w:space="0" w:color="auto"/>
      </w:divBdr>
    </w:div>
    <w:div w:id="1521161679">
      <w:bodyDiv w:val="1"/>
      <w:marLeft w:val="0"/>
      <w:marRight w:val="0"/>
      <w:marTop w:val="0"/>
      <w:marBottom w:val="0"/>
      <w:divBdr>
        <w:top w:val="none" w:sz="0" w:space="0" w:color="auto"/>
        <w:left w:val="none" w:sz="0" w:space="0" w:color="auto"/>
        <w:bottom w:val="none" w:sz="0" w:space="0" w:color="auto"/>
        <w:right w:val="none" w:sz="0" w:space="0" w:color="auto"/>
      </w:divBdr>
    </w:div>
    <w:div w:id="1523475813">
      <w:bodyDiv w:val="1"/>
      <w:marLeft w:val="0"/>
      <w:marRight w:val="0"/>
      <w:marTop w:val="0"/>
      <w:marBottom w:val="0"/>
      <w:divBdr>
        <w:top w:val="none" w:sz="0" w:space="0" w:color="auto"/>
        <w:left w:val="none" w:sz="0" w:space="0" w:color="auto"/>
        <w:bottom w:val="none" w:sz="0" w:space="0" w:color="auto"/>
        <w:right w:val="none" w:sz="0" w:space="0" w:color="auto"/>
      </w:divBdr>
    </w:div>
    <w:div w:id="1541942724">
      <w:bodyDiv w:val="1"/>
      <w:marLeft w:val="0"/>
      <w:marRight w:val="0"/>
      <w:marTop w:val="0"/>
      <w:marBottom w:val="0"/>
      <w:divBdr>
        <w:top w:val="none" w:sz="0" w:space="0" w:color="auto"/>
        <w:left w:val="none" w:sz="0" w:space="0" w:color="auto"/>
        <w:bottom w:val="none" w:sz="0" w:space="0" w:color="auto"/>
        <w:right w:val="none" w:sz="0" w:space="0" w:color="auto"/>
      </w:divBdr>
    </w:div>
    <w:div w:id="1543443142">
      <w:bodyDiv w:val="1"/>
      <w:marLeft w:val="0"/>
      <w:marRight w:val="0"/>
      <w:marTop w:val="0"/>
      <w:marBottom w:val="0"/>
      <w:divBdr>
        <w:top w:val="none" w:sz="0" w:space="0" w:color="auto"/>
        <w:left w:val="none" w:sz="0" w:space="0" w:color="auto"/>
        <w:bottom w:val="none" w:sz="0" w:space="0" w:color="auto"/>
        <w:right w:val="none" w:sz="0" w:space="0" w:color="auto"/>
      </w:divBdr>
    </w:div>
    <w:div w:id="1550149157">
      <w:bodyDiv w:val="1"/>
      <w:marLeft w:val="0"/>
      <w:marRight w:val="0"/>
      <w:marTop w:val="0"/>
      <w:marBottom w:val="0"/>
      <w:divBdr>
        <w:top w:val="none" w:sz="0" w:space="0" w:color="auto"/>
        <w:left w:val="none" w:sz="0" w:space="0" w:color="auto"/>
        <w:bottom w:val="none" w:sz="0" w:space="0" w:color="auto"/>
        <w:right w:val="none" w:sz="0" w:space="0" w:color="auto"/>
      </w:divBdr>
    </w:div>
    <w:div w:id="1560242357">
      <w:bodyDiv w:val="1"/>
      <w:marLeft w:val="0"/>
      <w:marRight w:val="0"/>
      <w:marTop w:val="0"/>
      <w:marBottom w:val="0"/>
      <w:divBdr>
        <w:top w:val="none" w:sz="0" w:space="0" w:color="auto"/>
        <w:left w:val="none" w:sz="0" w:space="0" w:color="auto"/>
        <w:bottom w:val="none" w:sz="0" w:space="0" w:color="auto"/>
        <w:right w:val="none" w:sz="0" w:space="0" w:color="auto"/>
      </w:divBdr>
    </w:div>
    <w:div w:id="1561750196">
      <w:bodyDiv w:val="1"/>
      <w:marLeft w:val="0"/>
      <w:marRight w:val="0"/>
      <w:marTop w:val="0"/>
      <w:marBottom w:val="0"/>
      <w:divBdr>
        <w:top w:val="none" w:sz="0" w:space="0" w:color="auto"/>
        <w:left w:val="none" w:sz="0" w:space="0" w:color="auto"/>
        <w:bottom w:val="none" w:sz="0" w:space="0" w:color="auto"/>
        <w:right w:val="none" w:sz="0" w:space="0" w:color="auto"/>
      </w:divBdr>
    </w:div>
    <w:div w:id="1589190509">
      <w:bodyDiv w:val="1"/>
      <w:marLeft w:val="0"/>
      <w:marRight w:val="0"/>
      <w:marTop w:val="0"/>
      <w:marBottom w:val="0"/>
      <w:divBdr>
        <w:top w:val="none" w:sz="0" w:space="0" w:color="auto"/>
        <w:left w:val="none" w:sz="0" w:space="0" w:color="auto"/>
        <w:bottom w:val="none" w:sz="0" w:space="0" w:color="auto"/>
        <w:right w:val="none" w:sz="0" w:space="0" w:color="auto"/>
      </w:divBdr>
    </w:div>
    <w:div w:id="1601332450">
      <w:bodyDiv w:val="1"/>
      <w:marLeft w:val="0"/>
      <w:marRight w:val="0"/>
      <w:marTop w:val="0"/>
      <w:marBottom w:val="0"/>
      <w:divBdr>
        <w:top w:val="none" w:sz="0" w:space="0" w:color="auto"/>
        <w:left w:val="none" w:sz="0" w:space="0" w:color="auto"/>
        <w:bottom w:val="none" w:sz="0" w:space="0" w:color="auto"/>
        <w:right w:val="none" w:sz="0" w:space="0" w:color="auto"/>
      </w:divBdr>
    </w:div>
    <w:div w:id="1603031444">
      <w:bodyDiv w:val="1"/>
      <w:marLeft w:val="0"/>
      <w:marRight w:val="0"/>
      <w:marTop w:val="0"/>
      <w:marBottom w:val="0"/>
      <w:divBdr>
        <w:top w:val="none" w:sz="0" w:space="0" w:color="auto"/>
        <w:left w:val="none" w:sz="0" w:space="0" w:color="auto"/>
        <w:bottom w:val="none" w:sz="0" w:space="0" w:color="auto"/>
        <w:right w:val="none" w:sz="0" w:space="0" w:color="auto"/>
      </w:divBdr>
    </w:div>
    <w:div w:id="1603414652">
      <w:bodyDiv w:val="1"/>
      <w:marLeft w:val="0"/>
      <w:marRight w:val="0"/>
      <w:marTop w:val="0"/>
      <w:marBottom w:val="0"/>
      <w:divBdr>
        <w:top w:val="none" w:sz="0" w:space="0" w:color="auto"/>
        <w:left w:val="none" w:sz="0" w:space="0" w:color="auto"/>
        <w:bottom w:val="none" w:sz="0" w:space="0" w:color="auto"/>
        <w:right w:val="none" w:sz="0" w:space="0" w:color="auto"/>
      </w:divBdr>
    </w:div>
    <w:div w:id="1616132882">
      <w:bodyDiv w:val="1"/>
      <w:marLeft w:val="0"/>
      <w:marRight w:val="0"/>
      <w:marTop w:val="0"/>
      <w:marBottom w:val="0"/>
      <w:divBdr>
        <w:top w:val="none" w:sz="0" w:space="0" w:color="auto"/>
        <w:left w:val="none" w:sz="0" w:space="0" w:color="auto"/>
        <w:bottom w:val="none" w:sz="0" w:space="0" w:color="auto"/>
        <w:right w:val="none" w:sz="0" w:space="0" w:color="auto"/>
      </w:divBdr>
    </w:div>
    <w:div w:id="1623875054">
      <w:bodyDiv w:val="1"/>
      <w:marLeft w:val="0"/>
      <w:marRight w:val="0"/>
      <w:marTop w:val="0"/>
      <w:marBottom w:val="0"/>
      <w:divBdr>
        <w:top w:val="none" w:sz="0" w:space="0" w:color="auto"/>
        <w:left w:val="none" w:sz="0" w:space="0" w:color="auto"/>
        <w:bottom w:val="none" w:sz="0" w:space="0" w:color="auto"/>
        <w:right w:val="none" w:sz="0" w:space="0" w:color="auto"/>
      </w:divBdr>
      <w:divsChild>
        <w:div w:id="1744717645">
          <w:marLeft w:val="0"/>
          <w:marRight w:val="0"/>
          <w:marTop w:val="0"/>
          <w:marBottom w:val="0"/>
          <w:divBdr>
            <w:top w:val="none" w:sz="0" w:space="0" w:color="auto"/>
            <w:left w:val="none" w:sz="0" w:space="0" w:color="auto"/>
            <w:bottom w:val="none" w:sz="0" w:space="0" w:color="auto"/>
            <w:right w:val="none" w:sz="0" w:space="0" w:color="auto"/>
          </w:divBdr>
          <w:divsChild>
            <w:div w:id="9809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2491">
      <w:bodyDiv w:val="1"/>
      <w:marLeft w:val="0"/>
      <w:marRight w:val="0"/>
      <w:marTop w:val="0"/>
      <w:marBottom w:val="0"/>
      <w:divBdr>
        <w:top w:val="none" w:sz="0" w:space="0" w:color="auto"/>
        <w:left w:val="none" w:sz="0" w:space="0" w:color="auto"/>
        <w:bottom w:val="none" w:sz="0" w:space="0" w:color="auto"/>
        <w:right w:val="none" w:sz="0" w:space="0" w:color="auto"/>
      </w:divBdr>
      <w:divsChild>
        <w:div w:id="1873223838">
          <w:marLeft w:val="0"/>
          <w:marRight w:val="0"/>
          <w:marTop w:val="0"/>
          <w:marBottom w:val="0"/>
          <w:divBdr>
            <w:top w:val="none" w:sz="0" w:space="0" w:color="auto"/>
            <w:left w:val="none" w:sz="0" w:space="0" w:color="auto"/>
            <w:bottom w:val="none" w:sz="0" w:space="0" w:color="auto"/>
            <w:right w:val="none" w:sz="0" w:space="0" w:color="auto"/>
          </w:divBdr>
          <w:divsChild>
            <w:div w:id="104367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6097">
      <w:bodyDiv w:val="1"/>
      <w:marLeft w:val="0"/>
      <w:marRight w:val="0"/>
      <w:marTop w:val="0"/>
      <w:marBottom w:val="0"/>
      <w:divBdr>
        <w:top w:val="none" w:sz="0" w:space="0" w:color="auto"/>
        <w:left w:val="none" w:sz="0" w:space="0" w:color="auto"/>
        <w:bottom w:val="none" w:sz="0" w:space="0" w:color="auto"/>
        <w:right w:val="none" w:sz="0" w:space="0" w:color="auto"/>
      </w:divBdr>
      <w:divsChild>
        <w:div w:id="473258076">
          <w:marLeft w:val="0"/>
          <w:marRight w:val="0"/>
          <w:marTop w:val="0"/>
          <w:marBottom w:val="0"/>
          <w:divBdr>
            <w:top w:val="none" w:sz="0" w:space="0" w:color="auto"/>
            <w:left w:val="none" w:sz="0" w:space="0" w:color="auto"/>
            <w:bottom w:val="none" w:sz="0" w:space="0" w:color="auto"/>
            <w:right w:val="none" w:sz="0" w:space="0" w:color="auto"/>
          </w:divBdr>
          <w:divsChild>
            <w:div w:id="861209644">
              <w:marLeft w:val="0"/>
              <w:marRight w:val="0"/>
              <w:marTop w:val="0"/>
              <w:marBottom w:val="0"/>
              <w:divBdr>
                <w:top w:val="none" w:sz="0" w:space="0" w:color="auto"/>
                <w:left w:val="none" w:sz="0" w:space="0" w:color="auto"/>
                <w:bottom w:val="none" w:sz="0" w:space="0" w:color="auto"/>
                <w:right w:val="none" w:sz="0" w:space="0" w:color="auto"/>
              </w:divBdr>
              <w:divsChild>
                <w:div w:id="500510194">
                  <w:marLeft w:val="0"/>
                  <w:marRight w:val="0"/>
                  <w:marTop w:val="0"/>
                  <w:marBottom w:val="0"/>
                  <w:divBdr>
                    <w:top w:val="none" w:sz="0" w:space="0" w:color="auto"/>
                    <w:left w:val="none" w:sz="0" w:space="0" w:color="auto"/>
                    <w:bottom w:val="none" w:sz="0" w:space="0" w:color="auto"/>
                    <w:right w:val="none" w:sz="0" w:space="0" w:color="auto"/>
                  </w:divBdr>
                  <w:divsChild>
                    <w:div w:id="1875774576">
                      <w:marLeft w:val="0"/>
                      <w:marRight w:val="0"/>
                      <w:marTop w:val="0"/>
                      <w:marBottom w:val="0"/>
                      <w:divBdr>
                        <w:top w:val="none" w:sz="0" w:space="0" w:color="auto"/>
                        <w:left w:val="none" w:sz="0" w:space="0" w:color="auto"/>
                        <w:bottom w:val="none" w:sz="0" w:space="0" w:color="auto"/>
                        <w:right w:val="none" w:sz="0" w:space="0" w:color="auto"/>
                      </w:divBdr>
                      <w:divsChild>
                        <w:div w:id="1518613974">
                          <w:marLeft w:val="0"/>
                          <w:marRight w:val="0"/>
                          <w:marTop w:val="0"/>
                          <w:marBottom w:val="0"/>
                          <w:divBdr>
                            <w:top w:val="none" w:sz="0" w:space="0" w:color="auto"/>
                            <w:left w:val="none" w:sz="0" w:space="0" w:color="auto"/>
                            <w:bottom w:val="none" w:sz="0" w:space="0" w:color="auto"/>
                            <w:right w:val="none" w:sz="0" w:space="0" w:color="auto"/>
                          </w:divBdr>
                          <w:divsChild>
                            <w:div w:id="591090679">
                              <w:marLeft w:val="0"/>
                              <w:marRight w:val="0"/>
                              <w:marTop w:val="0"/>
                              <w:marBottom w:val="0"/>
                              <w:divBdr>
                                <w:top w:val="none" w:sz="0" w:space="0" w:color="auto"/>
                                <w:left w:val="none" w:sz="0" w:space="0" w:color="auto"/>
                                <w:bottom w:val="none" w:sz="0" w:space="0" w:color="auto"/>
                                <w:right w:val="none" w:sz="0" w:space="0" w:color="auto"/>
                              </w:divBdr>
                              <w:divsChild>
                                <w:div w:id="1452476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1183409">
      <w:bodyDiv w:val="1"/>
      <w:marLeft w:val="0"/>
      <w:marRight w:val="0"/>
      <w:marTop w:val="0"/>
      <w:marBottom w:val="0"/>
      <w:divBdr>
        <w:top w:val="none" w:sz="0" w:space="0" w:color="auto"/>
        <w:left w:val="none" w:sz="0" w:space="0" w:color="auto"/>
        <w:bottom w:val="none" w:sz="0" w:space="0" w:color="auto"/>
        <w:right w:val="none" w:sz="0" w:space="0" w:color="auto"/>
      </w:divBdr>
    </w:div>
    <w:div w:id="1643464428">
      <w:bodyDiv w:val="1"/>
      <w:marLeft w:val="0"/>
      <w:marRight w:val="0"/>
      <w:marTop w:val="0"/>
      <w:marBottom w:val="0"/>
      <w:divBdr>
        <w:top w:val="none" w:sz="0" w:space="0" w:color="auto"/>
        <w:left w:val="none" w:sz="0" w:space="0" w:color="auto"/>
        <w:bottom w:val="none" w:sz="0" w:space="0" w:color="auto"/>
        <w:right w:val="none" w:sz="0" w:space="0" w:color="auto"/>
      </w:divBdr>
    </w:div>
    <w:div w:id="1646734989">
      <w:bodyDiv w:val="1"/>
      <w:marLeft w:val="0"/>
      <w:marRight w:val="0"/>
      <w:marTop w:val="0"/>
      <w:marBottom w:val="0"/>
      <w:divBdr>
        <w:top w:val="none" w:sz="0" w:space="0" w:color="auto"/>
        <w:left w:val="none" w:sz="0" w:space="0" w:color="auto"/>
        <w:bottom w:val="none" w:sz="0" w:space="0" w:color="auto"/>
        <w:right w:val="none" w:sz="0" w:space="0" w:color="auto"/>
      </w:divBdr>
    </w:div>
    <w:div w:id="1668284860">
      <w:bodyDiv w:val="1"/>
      <w:marLeft w:val="0"/>
      <w:marRight w:val="0"/>
      <w:marTop w:val="0"/>
      <w:marBottom w:val="0"/>
      <w:divBdr>
        <w:top w:val="none" w:sz="0" w:space="0" w:color="auto"/>
        <w:left w:val="none" w:sz="0" w:space="0" w:color="auto"/>
        <w:bottom w:val="none" w:sz="0" w:space="0" w:color="auto"/>
        <w:right w:val="none" w:sz="0" w:space="0" w:color="auto"/>
      </w:divBdr>
      <w:divsChild>
        <w:div w:id="1270621359">
          <w:marLeft w:val="0"/>
          <w:marRight w:val="0"/>
          <w:marTop w:val="0"/>
          <w:marBottom w:val="0"/>
          <w:divBdr>
            <w:top w:val="none" w:sz="0" w:space="0" w:color="auto"/>
            <w:left w:val="none" w:sz="0" w:space="0" w:color="auto"/>
            <w:bottom w:val="none" w:sz="0" w:space="0" w:color="auto"/>
            <w:right w:val="none" w:sz="0" w:space="0" w:color="auto"/>
          </w:divBdr>
          <w:divsChild>
            <w:div w:id="22526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699693">
      <w:bodyDiv w:val="1"/>
      <w:marLeft w:val="0"/>
      <w:marRight w:val="0"/>
      <w:marTop w:val="0"/>
      <w:marBottom w:val="0"/>
      <w:divBdr>
        <w:top w:val="none" w:sz="0" w:space="0" w:color="auto"/>
        <w:left w:val="none" w:sz="0" w:space="0" w:color="auto"/>
        <w:bottom w:val="none" w:sz="0" w:space="0" w:color="auto"/>
        <w:right w:val="none" w:sz="0" w:space="0" w:color="auto"/>
      </w:divBdr>
    </w:div>
    <w:div w:id="1691444304">
      <w:bodyDiv w:val="1"/>
      <w:marLeft w:val="0"/>
      <w:marRight w:val="0"/>
      <w:marTop w:val="0"/>
      <w:marBottom w:val="0"/>
      <w:divBdr>
        <w:top w:val="none" w:sz="0" w:space="0" w:color="auto"/>
        <w:left w:val="none" w:sz="0" w:space="0" w:color="auto"/>
        <w:bottom w:val="none" w:sz="0" w:space="0" w:color="auto"/>
        <w:right w:val="none" w:sz="0" w:space="0" w:color="auto"/>
      </w:divBdr>
    </w:div>
    <w:div w:id="1698970121">
      <w:bodyDiv w:val="1"/>
      <w:marLeft w:val="0"/>
      <w:marRight w:val="0"/>
      <w:marTop w:val="0"/>
      <w:marBottom w:val="0"/>
      <w:divBdr>
        <w:top w:val="none" w:sz="0" w:space="0" w:color="auto"/>
        <w:left w:val="none" w:sz="0" w:space="0" w:color="auto"/>
        <w:bottom w:val="none" w:sz="0" w:space="0" w:color="auto"/>
        <w:right w:val="none" w:sz="0" w:space="0" w:color="auto"/>
      </w:divBdr>
    </w:div>
    <w:div w:id="1759987024">
      <w:bodyDiv w:val="1"/>
      <w:marLeft w:val="0"/>
      <w:marRight w:val="0"/>
      <w:marTop w:val="0"/>
      <w:marBottom w:val="0"/>
      <w:divBdr>
        <w:top w:val="none" w:sz="0" w:space="0" w:color="auto"/>
        <w:left w:val="none" w:sz="0" w:space="0" w:color="auto"/>
        <w:bottom w:val="none" w:sz="0" w:space="0" w:color="auto"/>
        <w:right w:val="none" w:sz="0" w:space="0" w:color="auto"/>
      </w:divBdr>
    </w:div>
    <w:div w:id="1821576484">
      <w:bodyDiv w:val="1"/>
      <w:marLeft w:val="0"/>
      <w:marRight w:val="0"/>
      <w:marTop w:val="0"/>
      <w:marBottom w:val="0"/>
      <w:divBdr>
        <w:top w:val="none" w:sz="0" w:space="0" w:color="auto"/>
        <w:left w:val="none" w:sz="0" w:space="0" w:color="auto"/>
        <w:bottom w:val="none" w:sz="0" w:space="0" w:color="auto"/>
        <w:right w:val="none" w:sz="0" w:space="0" w:color="auto"/>
      </w:divBdr>
    </w:div>
    <w:div w:id="1835217347">
      <w:bodyDiv w:val="1"/>
      <w:marLeft w:val="0"/>
      <w:marRight w:val="0"/>
      <w:marTop w:val="0"/>
      <w:marBottom w:val="0"/>
      <w:divBdr>
        <w:top w:val="none" w:sz="0" w:space="0" w:color="auto"/>
        <w:left w:val="none" w:sz="0" w:space="0" w:color="auto"/>
        <w:bottom w:val="none" w:sz="0" w:space="0" w:color="auto"/>
        <w:right w:val="none" w:sz="0" w:space="0" w:color="auto"/>
      </w:divBdr>
    </w:div>
    <w:div w:id="1852403656">
      <w:bodyDiv w:val="1"/>
      <w:marLeft w:val="0"/>
      <w:marRight w:val="0"/>
      <w:marTop w:val="0"/>
      <w:marBottom w:val="0"/>
      <w:divBdr>
        <w:top w:val="none" w:sz="0" w:space="0" w:color="auto"/>
        <w:left w:val="none" w:sz="0" w:space="0" w:color="auto"/>
        <w:bottom w:val="none" w:sz="0" w:space="0" w:color="auto"/>
        <w:right w:val="none" w:sz="0" w:space="0" w:color="auto"/>
      </w:divBdr>
    </w:div>
    <w:div w:id="1866016592">
      <w:bodyDiv w:val="1"/>
      <w:marLeft w:val="0"/>
      <w:marRight w:val="0"/>
      <w:marTop w:val="0"/>
      <w:marBottom w:val="0"/>
      <w:divBdr>
        <w:top w:val="none" w:sz="0" w:space="0" w:color="auto"/>
        <w:left w:val="none" w:sz="0" w:space="0" w:color="auto"/>
        <w:bottom w:val="none" w:sz="0" w:space="0" w:color="auto"/>
        <w:right w:val="none" w:sz="0" w:space="0" w:color="auto"/>
      </w:divBdr>
    </w:div>
    <w:div w:id="1883323976">
      <w:bodyDiv w:val="1"/>
      <w:marLeft w:val="0"/>
      <w:marRight w:val="0"/>
      <w:marTop w:val="0"/>
      <w:marBottom w:val="0"/>
      <w:divBdr>
        <w:top w:val="none" w:sz="0" w:space="0" w:color="auto"/>
        <w:left w:val="none" w:sz="0" w:space="0" w:color="auto"/>
        <w:bottom w:val="none" w:sz="0" w:space="0" w:color="auto"/>
        <w:right w:val="none" w:sz="0" w:space="0" w:color="auto"/>
      </w:divBdr>
      <w:divsChild>
        <w:div w:id="356810150">
          <w:marLeft w:val="0"/>
          <w:marRight w:val="0"/>
          <w:marTop w:val="0"/>
          <w:marBottom w:val="0"/>
          <w:divBdr>
            <w:top w:val="none" w:sz="0" w:space="0" w:color="auto"/>
            <w:left w:val="none" w:sz="0" w:space="0" w:color="auto"/>
            <w:bottom w:val="none" w:sz="0" w:space="0" w:color="auto"/>
            <w:right w:val="none" w:sz="0" w:space="0" w:color="auto"/>
          </w:divBdr>
          <w:divsChild>
            <w:div w:id="175520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92313">
      <w:bodyDiv w:val="1"/>
      <w:marLeft w:val="0"/>
      <w:marRight w:val="0"/>
      <w:marTop w:val="0"/>
      <w:marBottom w:val="0"/>
      <w:divBdr>
        <w:top w:val="none" w:sz="0" w:space="0" w:color="auto"/>
        <w:left w:val="none" w:sz="0" w:space="0" w:color="auto"/>
        <w:bottom w:val="none" w:sz="0" w:space="0" w:color="auto"/>
        <w:right w:val="none" w:sz="0" w:space="0" w:color="auto"/>
      </w:divBdr>
      <w:divsChild>
        <w:div w:id="2047950739">
          <w:marLeft w:val="0"/>
          <w:marRight w:val="0"/>
          <w:marTop w:val="0"/>
          <w:marBottom w:val="0"/>
          <w:divBdr>
            <w:top w:val="none" w:sz="0" w:space="0" w:color="auto"/>
            <w:left w:val="none" w:sz="0" w:space="0" w:color="auto"/>
            <w:bottom w:val="none" w:sz="0" w:space="0" w:color="auto"/>
            <w:right w:val="none" w:sz="0" w:space="0" w:color="auto"/>
          </w:divBdr>
          <w:divsChild>
            <w:div w:id="9463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56388">
      <w:bodyDiv w:val="1"/>
      <w:marLeft w:val="0"/>
      <w:marRight w:val="0"/>
      <w:marTop w:val="0"/>
      <w:marBottom w:val="0"/>
      <w:divBdr>
        <w:top w:val="none" w:sz="0" w:space="0" w:color="auto"/>
        <w:left w:val="none" w:sz="0" w:space="0" w:color="auto"/>
        <w:bottom w:val="none" w:sz="0" w:space="0" w:color="auto"/>
        <w:right w:val="none" w:sz="0" w:space="0" w:color="auto"/>
      </w:divBdr>
    </w:div>
    <w:div w:id="1953510135">
      <w:bodyDiv w:val="1"/>
      <w:marLeft w:val="0"/>
      <w:marRight w:val="0"/>
      <w:marTop w:val="0"/>
      <w:marBottom w:val="0"/>
      <w:divBdr>
        <w:top w:val="none" w:sz="0" w:space="0" w:color="auto"/>
        <w:left w:val="none" w:sz="0" w:space="0" w:color="auto"/>
        <w:bottom w:val="none" w:sz="0" w:space="0" w:color="auto"/>
        <w:right w:val="none" w:sz="0" w:space="0" w:color="auto"/>
      </w:divBdr>
    </w:div>
    <w:div w:id="2001230915">
      <w:bodyDiv w:val="1"/>
      <w:marLeft w:val="0"/>
      <w:marRight w:val="0"/>
      <w:marTop w:val="0"/>
      <w:marBottom w:val="0"/>
      <w:divBdr>
        <w:top w:val="none" w:sz="0" w:space="0" w:color="auto"/>
        <w:left w:val="none" w:sz="0" w:space="0" w:color="auto"/>
        <w:bottom w:val="none" w:sz="0" w:space="0" w:color="auto"/>
        <w:right w:val="none" w:sz="0" w:space="0" w:color="auto"/>
      </w:divBdr>
    </w:div>
    <w:div w:id="2009361485">
      <w:bodyDiv w:val="1"/>
      <w:marLeft w:val="0"/>
      <w:marRight w:val="0"/>
      <w:marTop w:val="0"/>
      <w:marBottom w:val="0"/>
      <w:divBdr>
        <w:top w:val="none" w:sz="0" w:space="0" w:color="auto"/>
        <w:left w:val="none" w:sz="0" w:space="0" w:color="auto"/>
        <w:bottom w:val="none" w:sz="0" w:space="0" w:color="auto"/>
        <w:right w:val="none" w:sz="0" w:space="0" w:color="auto"/>
      </w:divBdr>
    </w:div>
    <w:div w:id="2031249997">
      <w:bodyDiv w:val="1"/>
      <w:marLeft w:val="0"/>
      <w:marRight w:val="0"/>
      <w:marTop w:val="0"/>
      <w:marBottom w:val="0"/>
      <w:divBdr>
        <w:top w:val="none" w:sz="0" w:space="0" w:color="auto"/>
        <w:left w:val="none" w:sz="0" w:space="0" w:color="auto"/>
        <w:bottom w:val="none" w:sz="0" w:space="0" w:color="auto"/>
        <w:right w:val="none" w:sz="0" w:space="0" w:color="auto"/>
      </w:divBdr>
    </w:div>
    <w:div w:id="2034112113">
      <w:bodyDiv w:val="1"/>
      <w:marLeft w:val="0"/>
      <w:marRight w:val="0"/>
      <w:marTop w:val="0"/>
      <w:marBottom w:val="0"/>
      <w:divBdr>
        <w:top w:val="none" w:sz="0" w:space="0" w:color="auto"/>
        <w:left w:val="none" w:sz="0" w:space="0" w:color="auto"/>
        <w:bottom w:val="none" w:sz="0" w:space="0" w:color="auto"/>
        <w:right w:val="none" w:sz="0" w:space="0" w:color="auto"/>
      </w:divBdr>
    </w:div>
    <w:div w:id="2039966443">
      <w:bodyDiv w:val="1"/>
      <w:marLeft w:val="0"/>
      <w:marRight w:val="0"/>
      <w:marTop w:val="0"/>
      <w:marBottom w:val="0"/>
      <w:divBdr>
        <w:top w:val="none" w:sz="0" w:space="0" w:color="auto"/>
        <w:left w:val="none" w:sz="0" w:space="0" w:color="auto"/>
        <w:bottom w:val="none" w:sz="0" w:space="0" w:color="auto"/>
        <w:right w:val="none" w:sz="0" w:space="0" w:color="auto"/>
      </w:divBdr>
    </w:div>
    <w:div w:id="2041974156">
      <w:bodyDiv w:val="1"/>
      <w:marLeft w:val="0"/>
      <w:marRight w:val="0"/>
      <w:marTop w:val="0"/>
      <w:marBottom w:val="0"/>
      <w:divBdr>
        <w:top w:val="none" w:sz="0" w:space="0" w:color="auto"/>
        <w:left w:val="none" w:sz="0" w:space="0" w:color="auto"/>
        <w:bottom w:val="none" w:sz="0" w:space="0" w:color="auto"/>
        <w:right w:val="none" w:sz="0" w:space="0" w:color="auto"/>
      </w:divBdr>
    </w:div>
    <w:div w:id="2094206728">
      <w:bodyDiv w:val="1"/>
      <w:marLeft w:val="0"/>
      <w:marRight w:val="0"/>
      <w:marTop w:val="0"/>
      <w:marBottom w:val="0"/>
      <w:divBdr>
        <w:top w:val="none" w:sz="0" w:space="0" w:color="auto"/>
        <w:left w:val="none" w:sz="0" w:space="0" w:color="auto"/>
        <w:bottom w:val="none" w:sz="0" w:space="0" w:color="auto"/>
        <w:right w:val="none" w:sz="0" w:space="0" w:color="auto"/>
      </w:divBdr>
    </w:div>
    <w:div w:id="2097706045">
      <w:bodyDiv w:val="1"/>
      <w:marLeft w:val="0"/>
      <w:marRight w:val="0"/>
      <w:marTop w:val="0"/>
      <w:marBottom w:val="0"/>
      <w:divBdr>
        <w:top w:val="none" w:sz="0" w:space="0" w:color="auto"/>
        <w:left w:val="none" w:sz="0" w:space="0" w:color="auto"/>
        <w:bottom w:val="none" w:sz="0" w:space="0" w:color="auto"/>
        <w:right w:val="none" w:sz="0" w:space="0" w:color="auto"/>
      </w:divBdr>
    </w:div>
    <w:div w:id="2108035825">
      <w:bodyDiv w:val="1"/>
      <w:marLeft w:val="0"/>
      <w:marRight w:val="0"/>
      <w:marTop w:val="0"/>
      <w:marBottom w:val="0"/>
      <w:divBdr>
        <w:top w:val="none" w:sz="0" w:space="0" w:color="auto"/>
        <w:left w:val="none" w:sz="0" w:space="0" w:color="auto"/>
        <w:bottom w:val="none" w:sz="0" w:space="0" w:color="auto"/>
        <w:right w:val="none" w:sz="0" w:space="0" w:color="auto"/>
      </w:divBdr>
    </w:div>
    <w:div w:id="2126726139">
      <w:bodyDiv w:val="1"/>
      <w:marLeft w:val="0"/>
      <w:marRight w:val="0"/>
      <w:marTop w:val="0"/>
      <w:marBottom w:val="0"/>
      <w:divBdr>
        <w:top w:val="none" w:sz="0" w:space="0" w:color="auto"/>
        <w:left w:val="none" w:sz="0" w:space="0" w:color="auto"/>
        <w:bottom w:val="none" w:sz="0" w:space="0" w:color="auto"/>
        <w:right w:val="none" w:sz="0" w:space="0" w:color="auto"/>
      </w:divBdr>
    </w:div>
    <w:div w:id="214611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s://utculiacan.edu.mx/en/admision/?utm_source=chatgpt.com" TargetMode="External"/><Relationship Id="rId26" Type="http://schemas.openxmlformats.org/officeDocument/2006/relationships/hyperlink" Target="https://transparencia.sinaloa.gob.mx/p/ley-de-ingresos-y-presupuesto-de-egresos-del-estado-de-sinaloa-para-el-ejercicio-fiscal-2024" TargetMode="Externa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utculiacan.edu.mx/en/desarrollo-y-evaluacion-institucional/?utm_source=chatgpt.com" TargetMode="External"/><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hyperlink" Target="https://utculiacan.edu.mx/en/?utm_source=chatgpt.com" TargetMode="External"/><Relationship Id="rId20" Type="http://schemas.openxmlformats.org/officeDocument/2006/relationships/hyperlink" Target="https://utculiacan.edu.mx" TargetMode="External"/><Relationship Id="rId29" Type="http://schemas.openxmlformats.org/officeDocument/2006/relationships/hyperlink" Target="https://utculiacan.edu.mx/pbr-se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0.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image" Target="media/image9.png"/><Relationship Id="rId28" Type="http://schemas.openxmlformats.org/officeDocument/2006/relationships/hyperlink" Target="https://utculiacan.edu.mx/pbr-sed/" TargetMode="External"/><Relationship Id="rId10" Type="http://schemas.openxmlformats.org/officeDocument/2006/relationships/image" Target="media/image3.jpeg"/><Relationship Id="rId19" Type="http://schemas.openxmlformats.org/officeDocument/2006/relationships/hyperlink" Target="https://utculiacan.edu.mx/en/inscripcion/?utm_source=chatgpt.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image" Target="media/image8.emf"/><Relationship Id="rId27" Type="http://schemas.openxmlformats.org/officeDocument/2006/relationships/image" Target="media/image12.png"/><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oleObject" Target="file:///E:\EVALUACIONES%20PENDIENTES%20PAE%202025\Puntaje%20Evaluacio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'Hoja Gráfica'!$F$1</c:f>
              <c:strCache>
                <c:ptCount val="1"/>
                <c:pt idx="0">
                  <c:v>Valoración Final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 Gráfica'!$E$2:$E$7</c:f>
              <c:strCache>
                <c:ptCount val="6"/>
                <c:pt idx="0">
                  <c:v>Problema o necesidad pública</c:v>
                </c:pt>
                <c:pt idx="1">
                  <c:v>Diseño de la propuesta de atención</c:v>
                </c:pt>
                <c:pt idx="2">
                  <c:v>Diseño operativo</c:v>
                </c:pt>
                <c:pt idx="3">
                  <c:v>Consistencia programática y normativa</c:v>
                </c:pt>
                <c:pt idx="4">
                  <c:v>Contribución a objetivos de la planeación estatal</c:v>
                </c:pt>
                <c:pt idx="5">
                  <c:v>Instrumento de Seguimiento del Desempeño</c:v>
                </c:pt>
              </c:strCache>
            </c:strRef>
          </c:cat>
          <c:val>
            <c:numRef>
              <c:f>'Hoja Gráfica'!$F$2:$F$7</c:f>
              <c:numCache>
                <c:formatCode>General</c:formatCode>
                <c:ptCount val="6"/>
                <c:pt idx="0">
                  <c:v>3</c:v>
                </c:pt>
                <c:pt idx="1">
                  <c:v>0.8</c:v>
                </c:pt>
                <c:pt idx="2">
                  <c:v>0.9</c:v>
                </c:pt>
                <c:pt idx="3">
                  <c:v>0</c:v>
                </c:pt>
                <c:pt idx="4">
                  <c:v>4</c:v>
                </c:pt>
                <c:pt idx="5">
                  <c:v>0</c:v>
                </c:pt>
              </c:numCache>
            </c:numRef>
          </c:val>
          <c:extLst>
            <c:ext xmlns:c16="http://schemas.microsoft.com/office/drawing/2014/chart" uri="{C3380CC4-5D6E-409C-BE32-E72D297353CC}">
              <c16:uniqueId val="{00000000-1BE9-4D89-946E-76DAF6CD905C}"/>
            </c:ext>
          </c:extLst>
        </c:ser>
        <c:dLbls>
          <c:showLegendKey val="0"/>
          <c:showVal val="0"/>
          <c:showCatName val="0"/>
          <c:showSerName val="0"/>
          <c:showPercent val="0"/>
          <c:showBubbleSize val="0"/>
        </c:dLbls>
        <c:axId val="1760573648"/>
        <c:axId val="1760577392"/>
      </c:radarChart>
      <c:catAx>
        <c:axId val="1760573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760577392"/>
        <c:crosses val="autoZero"/>
        <c:auto val="1"/>
        <c:lblAlgn val="ctr"/>
        <c:lblOffset val="100"/>
        <c:noMultiLvlLbl val="0"/>
      </c:catAx>
      <c:valAx>
        <c:axId val="176057739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760573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B47F5-7A61-45B0-81F4-C1487DE16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1609</TotalTime>
  <Pages>80</Pages>
  <Words>26948</Words>
  <Characters>148216</Characters>
  <Application>Microsoft Office Word</Application>
  <DocSecurity>0</DocSecurity>
  <Lines>1235</Lines>
  <Paragraphs>349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CLSinaloa</dc:creator>
  <cp:lastModifiedBy>usuario</cp:lastModifiedBy>
  <cp:revision>36</cp:revision>
  <cp:lastPrinted>2026-04-21T19:56:00Z</cp:lastPrinted>
  <dcterms:created xsi:type="dcterms:W3CDTF">2026-03-20T22:18:00Z</dcterms:created>
  <dcterms:modified xsi:type="dcterms:W3CDTF">2026-04-21T20:16:00Z</dcterms:modified>
</cp:coreProperties>
</file>